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63229B29"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1E742B70">
            <wp:simplePos x="0" y="0"/>
            <wp:positionH relativeFrom="column">
              <wp:posOffset>-509270</wp:posOffset>
            </wp:positionH>
            <wp:positionV relativeFrom="page">
              <wp:posOffset>278765</wp:posOffset>
            </wp:positionV>
            <wp:extent cx="2638425" cy="1003935"/>
            <wp:effectExtent l="0" t="0" r="9525" b="5715"/>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425" cy="1003935"/>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75D63C6E" w:rsidR="00532CE3" w:rsidRDefault="006E40EC" w:rsidP="00532CE3">
                            <w:pPr>
                              <w:jc w:val="center"/>
                            </w:pPr>
                            <w:r>
                              <w:rPr>
                                <w:rFonts w:ascii="Segoe UI" w:hAnsi="Segoe UI" w:cs="Segoe UI"/>
                                <w:b/>
                                <w:bCs/>
                                <w:color w:val="000091" w:themeColor="text1"/>
                                <w:sz w:val="32"/>
                                <w:szCs w:val="20"/>
                              </w:rPr>
                              <w:t>SRI LANKA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75D63C6E" w:rsidR="00532CE3" w:rsidRDefault="006E40EC" w:rsidP="00532CE3">
                      <w:pPr>
                        <w:jc w:val="center"/>
                      </w:pPr>
                      <w:r>
                        <w:rPr>
                          <w:rFonts w:ascii="Segoe UI" w:hAnsi="Segoe UI" w:cs="Segoe UI"/>
                          <w:b/>
                          <w:bCs/>
                          <w:color w:val="000091" w:themeColor="text1"/>
                          <w:sz w:val="32"/>
                          <w:szCs w:val="20"/>
                        </w:rPr>
                        <w:t>SRI LANKA</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02E7E87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92CFF">
                        <w:rPr>
                          <w:rFonts w:ascii="Segoe UI" w:hAnsi="Segoe UI" w:cs="Segoe UI"/>
                          <w:color w:val="000091" w:themeColor="text1"/>
                          <w:sz w:val="17"/>
                          <w:szCs w:val="17"/>
                          <w:lang w:eastAsia="ja-JP"/>
                        </w:rPr>
                        <w:t xml:space="preserve"> </w:t>
                      </w:r>
                      <w:r w:rsidR="006E40EC">
                        <w:rPr>
                          <w:rFonts w:ascii="Segoe UI" w:hAnsi="Segoe UI" w:cs="Segoe UI"/>
                          <w:color w:val="000091" w:themeColor="text1"/>
                          <w:sz w:val="17"/>
                          <w:szCs w:val="17"/>
                          <w:lang w:eastAsia="ja-JP"/>
                        </w:rPr>
                        <w:t>Philippe FOUET</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17D913B4"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DD38B0">
                              <w:rPr>
                                <w:rFonts w:ascii="Segoe UI" w:hAnsi="Segoe UI" w:cs="Segoe UI"/>
                                <w:color w:val="986E02" w:themeColor="accent2" w:themeShade="80"/>
                                <w:sz w:val="17"/>
                                <w:szCs w:val="17"/>
                                <w:lang w:eastAsia="ja-JP"/>
                              </w:rPr>
                              <w:t>1</w:t>
                            </w:r>
                            <w:r w:rsidR="00EC428A">
                              <w:rPr>
                                <w:rFonts w:ascii="Segoe UI" w:hAnsi="Segoe UI" w:cs="Segoe UI"/>
                                <w:color w:val="986E02" w:themeColor="accent2" w:themeShade="80"/>
                                <w:sz w:val="17"/>
                                <w:szCs w:val="17"/>
                                <w:lang w:eastAsia="ja-JP"/>
                              </w:rPr>
                              <w:t>5</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17D913B4" w:rsidR="00490B3C" w:rsidRPr="00532CE3" w:rsidRDefault="006E40EC"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Colombo</w:t>
                      </w:r>
                      <w:r w:rsidR="00490B3C" w:rsidRPr="00532CE3">
                        <w:rPr>
                          <w:rFonts w:ascii="Segoe UI" w:hAnsi="Segoe UI" w:cs="Segoe UI"/>
                          <w:color w:val="986E02" w:themeColor="accent2" w:themeShade="80"/>
                          <w:sz w:val="17"/>
                          <w:szCs w:val="17"/>
                          <w:lang w:eastAsia="ja-JP"/>
                        </w:rPr>
                        <w:t xml:space="preserve">, </w:t>
                      </w:r>
                      <w:r w:rsidR="00DD38B0">
                        <w:rPr>
                          <w:rFonts w:ascii="Segoe UI" w:hAnsi="Segoe UI" w:cs="Segoe UI"/>
                          <w:color w:val="986E02" w:themeColor="accent2" w:themeShade="80"/>
                          <w:sz w:val="17"/>
                          <w:szCs w:val="17"/>
                          <w:lang w:eastAsia="ja-JP"/>
                        </w:rPr>
                        <w:t>1</w:t>
                      </w:r>
                      <w:r w:rsidR="00EC428A">
                        <w:rPr>
                          <w:rFonts w:ascii="Segoe UI" w:hAnsi="Segoe UI" w:cs="Segoe UI"/>
                          <w:color w:val="986E02" w:themeColor="accent2" w:themeShade="80"/>
                          <w:sz w:val="17"/>
                          <w:szCs w:val="17"/>
                          <w:lang w:eastAsia="ja-JP"/>
                        </w:rPr>
                        <w:t>5</w:t>
                      </w:r>
                      <w:r>
                        <w:rPr>
                          <w:rFonts w:ascii="Segoe UI" w:hAnsi="Segoe UI" w:cs="Segoe UI"/>
                          <w:color w:val="986E02" w:themeColor="accent2" w:themeShade="80"/>
                          <w:sz w:val="17"/>
                          <w:szCs w:val="17"/>
                          <w:lang w:eastAsia="ja-JP"/>
                        </w:rPr>
                        <w:t>/</w:t>
                      </w:r>
                      <w:r w:rsidR="00D84F48">
                        <w:rPr>
                          <w:rFonts w:ascii="Segoe UI" w:hAnsi="Segoe UI" w:cs="Segoe UI"/>
                          <w:color w:val="986E02" w:themeColor="accent2" w:themeShade="80"/>
                          <w:sz w:val="17"/>
                          <w:szCs w:val="17"/>
                          <w:lang w:eastAsia="ja-JP"/>
                        </w:rPr>
                        <w:t>0</w:t>
                      </w:r>
                      <w:r w:rsidR="00892CFF">
                        <w:rPr>
                          <w:rFonts w:ascii="Segoe UI" w:hAnsi="Segoe UI" w:cs="Segoe UI"/>
                          <w:color w:val="986E02" w:themeColor="accent2" w:themeShade="80"/>
                          <w:sz w:val="17"/>
                          <w:szCs w:val="17"/>
                          <w:lang w:eastAsia="ja-JP"/>
                        </w:rPr>
                        <w:t>4</w:t>
                      </w:r>
                      <w:r>
                        <w:rPr>
                          <w:rFonts w:ascii="Segoe UI" w:hAnsi="Segoe UI" w:cs="Segoe UI"/>
                          <w:color w:val="986E02" w:themeColor="accent2" w:themeShade="80"/>
                          <w:sz w:val="17"/>
                          <w:szCs w:val="17"/>
                          <w:lang w:eastAsia="ja-JP"/>
                        </w:rPr>
                        <w:t>/202</w:t>
                      </w:r>
                      <w:r w:rsidR="00D84F48">
                        <w:rPr>
                          <w:rFonts w:ascii="Segoe UI" w:hAnsi="Segoe UI" w:cs="Segoe UI"/>
                          <w:color w:val="986E02" w:themeColor="accent2" w:themeShade="80"/>
                          <w:sz w:val="17"/>
                          <w:szCs w:val="17"/>
                          <w:lang w:eastAsia="ja-JP"/>
                        </w:rPr>
                        <w:t>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68293C45"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France </w:t>
                      </w:r>
                      <w:r w:rsidR="006E40EC">
                        <w:rPr>
                          <w:rFonts w:ascii="Segoe UI" w:hAnsi="Segoe UI" w:cs="Segoe UI"/>
                          <w:bCs/>
                          <w:color w:val="000091" w:themeColor="text1"/>
                          <w:sz w:val="18"/>
                          <w:szCs w:val="18"/>
                          <w:lang w:eastAsia="ja-JP"/>
                        </w:rPr>
                        <w:t>au Sri Lanka et aux Maldives</w:t>
                      </w:r>
                    </w:p>
                    <w:p w14:paraId="3D62CBBB" w14:textId="0681E90B"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Service économique</w:t>
                      </w:r>
                      <w:r w:rsidR="006E40EC">
                        <w:rPr>
                          <w:rFonts w:ascii="Segoe UI" w:hAnsi="Segoe UI" w:cs="Segoe UI"/>
                          <w:bCs/>
                          <w:color w:val="000091" w:themeColor="text1"/>
                          <w:sz w:val="18"/>
                          <w:szCs w:val="18"/>
                          <w:lang w:eastAsia="ja-JP"/>
                        </w:rPr>
                        <w:t xml:space="preserve"> de Colombo</w:t>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EC428A" w:rsidRPr="00EC428A">
        <w:rPr>
          <w:rFonts w:ascii="Segoe UI" w:hAnsi="Segoe UI" w:cs="Segoe UI"/>
          <w:color w:val="000091" w:themeColor="text1"/>
          <w:sz w:val="32"/>
          <w:szCs w:val="20"/>
          <w:lang w:eastAsia="fr-FR"/>
        </w:rPr>
        <w:t>Les échanges commerciaux France-Sri Lanka en 2024</w:t>
      </w:r>
    </w:p>
    <w:p w14:paraId="7788FE4E" w14:textId="6D1BD4C5" w:rsidR="00F4255E" w:rsidRDefault="00EC428A" w:rsidP="00F4255E">
      <w:pPr>
        <w:pStyle w:val="Sansinterligne"/>
        <w:ind w:left="-284"/>
        <w:jc w:val="both"/>
        <w:rPr>
          <w:rFonts w:ascii="Segoe UI" w:hAnsi="Segoe UI" w:cs="Segoe UI"/>
          <w:noProof/>
          <w:color w:val="000091" w:themeColor="text1"/>
          <w:sz w:val="20"/>
          <w:szCs w:val="20"/>
          <w:lang w:eastAsia="fr-FR"/>
        </w:rPr>
      </w:pPr>
      <w:r w:rsidRPr="00EC428A">
        <w:rPr>
          <w:rFonts w:ascii="Segoe UI" w:hAnsi="Segoe UI" w:cs="Segoe UI"/>
          <w:noProof/>
          <w:color w:val="000091" w:themeColor="text1"/>
          <w:sz w:val="20"/>
          <w:szCs w:val="20"/>
          <w:lang w:eastAsia="fr-FR"/>
        </w:rPr>
        <w:t>Les échanges bilatéraux de marchandises se sont tassés entre 2023 et 2024 (-9,6%) en raison de la forte baisse de nos exportations (-28,5%) liée à l’effondrement de nos ventes aéronautiques au Sri Lanka, accentuée par la réduction de nos importations en provenance de ce pays (-3,8%), probablement liée à la stagnation des ventes de textile-habillement en France. Le déficit bilatéral structurel progresse (+7,2%) par rapport à 2023, sans toutefois atteindre le record de 2022. Les échanges bilatéraux devraient s’accroître en 2025 sous l’effet de la réorientation vers l’Europe, dont la France, d’une partie des exportations sri lankaises en raison des incertitudes pesant sur la politique commerciale qui sera menée par les nouvelles autorités américaines.</w:t>
      </w:r>
    </w:p>
    <w:p w14:paraId="58106AA9" w14:textId="77777777" w:rsidR="00EC428A" w:rsidRPr="00EC428A" w:rsidRDefault="00EC428A" w:rsidP="00EC428A">
      <w:pPr>
        <w:spacing w:before="120" w:after="0" w:line="240" w:lineRule="auto"/>
        <w:ind w:left="-284"/>
        <w:jc w:val="both"/>
        <w:rPr>
          <w:rFonts w:ascii="Segoe UI" w:eastAsia="Times New Roman" w:hAnsi="Segoe UI" w:cs="Segoe UI"/>
          <w:b/>
          <w:bCs/>
          <w:sz w:val="20"/>
          <w:szCs w:val="20"/>
          <w:lang w:eastAsia="fr-FR"/>
        </w:rPr>
      </w:pPr>
      <w:r w:rsidRPr="00EC428A">
        <w:rPr>
          <w:rFonts w:ascii="Segoe UI" w:eastAsia="Times New Roman" w:hAnsi="Segoe UI" w:cs="Segoe UI"/>
          <w:b/>
          <w:bCs/>
          <w:sz w:val="20"/>
          <w:szCs w:val="20"/>
          <w:lang w:eastAsia="fr-FR"/>
        </w:rPr>
        <w:t xml:space="preserve">En 2024, les échanges bilatéraux de marchandises entre la France et Sri Lanka se sont repliés de près de 10%, pour atteindre 538 MEUR. </w:t>
      </w:r>
      <w:r w:rsidRPr="00EC428A">
        <w:rPr>
          <w:rFonts w:ascii="Segoe UI" w:eastAsia="Times New Roman" w:hAnsi="Segoe UI" w:cs="Segoe UI"/>
          <w:sz w:val="20"/>
          <w:szCs w:val="20"/>
          <w:lang w:eastAsia="fr-FR"/>
        </w:rPr>
        <w:t xml:space="preserve">Ils avaient atteint leur maximum en 2015 grâce à la livraison d’aéronefs à SriLankan Airlines mais ont été fortement affectés par la crise économique que traverse le pays depuis 2020, qui l’a conduit à adopter des mesures de réduction des importations, dont la levée progressive s’est achevée en février 2025. </w:t>
      </w:r>
      <w:r w:rsidRPr="00EC428A">
        <w:rPr>
          <w:rFonts w:ascii="Segoe UI" w:eastAsia="Times New Roman" w:hAnsi="Segoe UI" w:cs="Segoe UI"/>
          <w:b/>
          <w:bCs/>
          <w:sz w:val="20"/>
          <w:szCs w:val="20"/>
          <w:lang w:eastAsia="fr-FR"/>
        </w:rPr>
        <w:t>Nos échanges dégagent un déficit structurel considérable</w:t>
      </w:r>
      <w:r w:rsidRPr="00EC428A">
        <w:rPr>
          <w:rFonts w:ascii="Segoe UI" w:eastAsia="Times New Roman" w:hAnsi="Segoe UI" w:cs="Segoe UI"/>
          <w:sz w:val="20"/>
          <w:szCs w:val="20"/>
          <w:lang w:eastAsia="fr-FR"/>
        </w:rPr>
        <w:t xml:space="preserve"> (la France couvre moins de 23% de ses importations en provenance du Sri Lanka) qui a progressé entre 2023 et 2024 (+7,2%) pour atteindre 338 MEUR, soit le 25</w:t>
      </w:r>
      <w:r w:rsidRPr="00EC428A">
        <w:rPr>
          <w:rFonts w:ascii="Segoe UI" w:eastAsia="Times New Roman" w:hAnsi="Segoe UI" w:cs="Segoe UI"/>
          <w:sz w:val="20"/>
          <w:szCs w:val="20"/>
          <w:vertAlign w:val="superscript"/>
          <w:lang w:eastAsia="fr-FR"/>
        </w:rPr>
        <w:t>e</w:t>
      </w:r>
      <w:r w:rsidRPr="00EC428A">
        <w:rPr>
          <w:rFonts w:ascii="Segoe UI" w:eastAsia="Times New Roman" w:hAnsi="Segoe UI" w:cs="Segoe UI"/>
          <w:sz w:val="20"/>
          <w:szCs w:val="20"/>
          <w:lang w:eastAsia="fr-FR"/>
        </w:rPr>
        <w:t xml:space="preserve"> déficit français. Ce chiffre reste toutefois en deçà du niveau atteint en 2022 (435 MEUR).</w:t>
      </w:r>
    </w:p>
    <w:p w14:paraId="23EF5D10" w14:textId="1DD0AA6B" w:rsidR="006E40EC" w:rsidRDefault="00EC428A" w:rsidP="008523C9">
      <w:pPr>
        <w:spacing w:before="120" w:after="0"/>
        <w:ind w:left="-284"/>
        <w:jc w:val="both"/>
        <w:rPr>
          <w:rFonts w:ascii="Segoe UI" w:hAnsi="Segoe UI" w:cs="Segoe UI"/>
          <w:b/>
          <w:color w:val="000091" w:themeColor="text1"/>
          <w:szCs w:val="20"/>
        </w:rPr>
      </w:pPr>
      <w:r w:rsidRPr="00EC428A">
        <w:rPr>
          <w:rFonts w:ascii="Segoe UI" w:hAnsi="Segoe UI" w:cs="Segoe UI"/>
          <w:b/>
          <w:color w:val="000091" w:themeColor="text1"/>
          <w:szCs w:val="20"/>
        </w:rPr>
        <w:t>Des exportations françaises en forte baisse en raison de la réduction de nos livraisons aéronautiques</w:t>
      </w:r>
    </w:p>
    <w:p w14:paraId="104FFA6C" w14:textId="77777777" w:rsidR="00EC428A" w:rsidRPr="00EC428A" w:rsidRDefault="00EC428A" w:rsidP="00EC428A">
      <w:pPr>
        <w:spacing w:before="120" w:after="0" w:line="240" w:lineRule="auto"/>
        <w:ind w:left="-284"/>
        <w:jc w:val="both"/>
        <w:rPr>
          <w:rFonts w:ascii="Segoe UI" w:eastAsia="Times New Roman" w:hAnsi="Segoe UI" w:cs="Segoe UI"/>
          <w:sz w:val="20"/>
          <w:szCs w:val="20"/>
          <w:lang w:eastAsia="fr-FR"/>
        </w:rPr>
      </w:pPr>
      <w:r w:rsidRPr="00EC428A">
        <w:rPr>
          <w:rFonts w:ascii="Segoe UI" w:eastAsia="Times New Roman" w:hAnsi="Segoe UI" w:cs="Segoe UI"/>
          <w:b/>
          <w:bCs/>
          <w:sz w:val="20"/>
          <w:szCs w:val="20"/>
          <w:lang w:eastAsia="fr-FR"/>
        </w:rPr>
        <w:t xml:space="preserve">Les exportations françaises vers le Sri Lanka </w:t>
      </w:r>
      <w:proofErr w:type="gramStart"/>
      <w:r w:rsidRPr="00EC428A">
        <w:rPr>
          <w:rFonts w:ascii="Segoe UI" w:eastAsia="Times New Roman" w:hAnsi="Segoe UI" w:cs="Segoe UI"/>
          <w:b/>
          <w:bCs/>
          <w:sz w:val="20"/>
          <w:szCs w:val="20"/>
          <w:lang w:eastAsia="fr-FR"/>
        </w:rPr>
        <w:t>s’établissent</w:t>
      </w:r>
      <w:proofErr w:type="gramEnd"/>
      <w:r w:rsidRPr="00EC428A">
        <w:rPr>
          <w:rFonts w:ascii="Segoe UI" w:eastAsia="Times New Roman" w:hAnsi="Segoe UI" w:cs="Segoe UI"/>
          <w:b/>
          <w:bCs/>
          <w:sz w:val="20"/>
          <w:szCs w:val="20"/>
          <w:lang w:eastAsia="fr-FR"/>
        </w:rPr>
        <w:t xml:space="preserve"> à un niveau relativement faible</w:t>
      </w:r>
      <w:r w:rsidRPr="00EC428A">
        <w:rPr>
          <w:rFonts w:ascii="Segoe UI" w:eastAsia="Times New Roman" w:hAnsi="Segoe UI" w:cs="Segoe UI"/>
          <w:sz w:val="20"/>
          <w:szCs w:val="20"/>
          <w:lang w:eastAsia="fr-FR"/>
        </w:rPr>
        <w:t xml:space="preserve"> (100 MEUR en 2024, soit 28,5% de moins qu’en 2023). Le Sri Lanka est le 4</w:t>
      </w:r>
      <w:r w:rsidRPr="00EC428A">
        <w:rPr>
          <w:rFonts w:ascii="Segoe UI" w:eastAsia="Times New Roman" w:hAnsi="Segoe UI" w:cs="Segoe UI"/>
          <w:sz w:val="20"/>
          <w:szCs w:val="20"/>
          <w:vertAlign w:val="superscript"/>
          <w:lang w:eastAsia="fr-FR"/>
        </w:rPr>
        <w:t>e</w:t>
      </w:r>
      <w:r w:rsidRPr="00EC428A">
        <w:rPr>
          <w:rFonts w:ascii="Segoe UI" w:eastAsia="Times New Roman" w:hAnsi="Segoe UI" w:cs="Segoe UI"/>
          <w:sz w:val="20"/>
          <w:szCs w:val="20"/>
          <w:lang w:eastAsia="fr-FR"/>
        </w:rPr>
        <w:t xml:space="preserve"> client de la France en Asie du Sud, derrière l’Inde, le Pakistan et le Bangladesh. Il se place, au niveau mondial, au 42</w:t>
      </w:r>
      <w:r w:rsidRPr="00EC428A">
        <w:rPr>
          <w:rFonts w:ascii="Segoe UI" w:eastAsia="Times New Roman" w:hAnsi="Segoe UI" w:cs="Segoe UI"/>
          <w:sz w:val="20"/>
          <w:szCs w:val="20"/>
          <w:vertAlign w:val="superscript"/>
          <w:lang w:eastAsia="fr-FR"/>
        </w:rPr>
        <w:t>e</w:t>
      </w:r>
      <w:r w:rsidRPr="00EC428A">
        <w:rPr>
          <w:rFonts w:ascii="Segoe UI" w:eastAsia="Times New Roman" w:hAnsi="Segoe UI" w:cs="Segoe UI"/>
          <w:sz w:val="20"/>
          <w:szCs w:val="20"/>
          <w:lang w:eastAsia="fr-FR"/>
        </w:rPr>
        <w:t xml:space="preserve"> rang des clients de la France. </w:t>
      </w:r>
      <w:r w:rsidRPr="00EC428A">
        <w:rPr>
          <w:rFonts w:ascii="Segoe UI" w:eastAsia="Times New Roman" w:hAnsi="Segoe UI" w:cs="Segoe UI"/>
          <w:b/>
          <w:bCs/>
          <w:sz w:val="20"/>
          <w:szCs w:val="20"/>
          <w:lang w:eastAsia="fr-FR"/>
        </w:rPr>
        <w:t xml:space="preserve">Nos exportations </w:t>
      </w:r>
      <w:r w:rsidRPr="00EC428A">
        <w:rPr>
          <w:rFonts w:ascii="Segoe UI" w:eastAsia="Calibri" w:hAnsi="Segoe UI" w:cs="Segoe UI"/>
          <w:b/>
          <w:bCs/>
          <w:sz w:val="20"/>
          <w:szCs w:val="20"/>
        </w:rPr>
        <w:t>sont concentrées sur un nombre relativement réduit de secteurs</w:t>
      </w:r>
      <w:r w:rsidRPr="00EC428A">
        <w:rPr>
          <w:rFonts w:ascii="Segoe UI" w:eastAsia="Calibri" w:hAnsi="Segoe UI" w:cs="Segoe UI"/>
          <w:sz w:val="20"/>
          <w:szCs w:val="20"/>
        </w:rPr>
        <w:t>, dont les principaux sont :</w:t>
      </w:r>
    </w:p>
    <w:p w14:paraId="6746BF0C" w14:textId="77777777"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Le matériel aéronautique pour 30 MEUR, en baisse de 56% par rapport à 2023, poste très dépendant des commandes de la compagnie nationale SriLankan Airlines, actuellement en restructuration ;</w:t>
      </w:r>
    </w:p>
    <w:p w14:paraId="201C29F2" w14:textId="77777777"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Les équipements mécaniques, électriques et électroniques pour 17,1 MEUR, en hausse de 17,9% par rapport à 2023 ;</w:t>
      </w:r>
    </w:p>
    <w:p w14:paraId="7381E2AE" w14:textId="77777777"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Les produits chimiques parfums et cosmétiques à hauteur de 14,2 MEUR en légère baisse ;</w:t>
      </w:r>
    </w:p>
    <w:p w14:paraId="58E22F23" w14:textId="77777777"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Les produits agricoles et agroalimentaires pour 11,3 MEUR, en stagnation ;</w:t>
      </w:r>
    </w:p>
    <w:p w14:paraId="78372A5A" w14:textId="77777777" w:rsidR="00EC428A" w:rsidRPr="00EC428A" w:rsidRDefault="00EC428A" w:rsidP="00EC428A">
      <w:pPr>
        <w:pStyle w:val="Paragraphedeliste"/>
        <w:numPr>
          <w:ilvl w:val="0"/>
          <w:numId w:val="22"/>
        </w:numPr>
        <w:ind w:left="-284" w:firstLine="0"/>
        <w:jc w:val="both"/>
        <w:rPr>
          <w:rFonts w:ascii="Segoe UI" w:eastAsia="Calibri" w:hAnsi="Segoe UI" w:cs="Segoe UI"/>
          <w:sz w:val="20"/>
          <w:szCs w:val="20"/>
        </w:rPr>
      </w:pPr>
      <w:r w:rsidRPr="00EC428A">
        <w:rPr>
          <w:rFonts w:ascii="Segoe UI" w:eastAsia="Calibri" w:hAnsi="Segoe UI" w:cs="Segoe UI"/>
          <w:sz w:val="20"/>
          <w:szCs w:val="20"/>
        </w:rPr>
        <w:t>Les produits pharmaceutiques pour 11,2 MEUR, en baisse de 8,8%.</w:t>
      </w:r>
    </w:p>
    <w:p w14:paraId="7760BA53" w14:textId="77777777" w:rsidR="00EC428A" w:rsidRPr="00EC428A" w:rsidRDefault="00EC428A" w:rsidP="00EC428A">
      <w:pPr>
        <w:ind w:left="-284"/>
        <w:jc w:val="both"/>
        <w:rPr>
          <w:rFonts w:ascii="Segoe UI" w:eastAsia="Calibri" w:hAnsi="Segoe UI" w:cs="Segoe UI"/>
          <w:sz w:val="20"/>
          <w:szCs w:val="20"/>
        </w:rPr>
      </w:pPr>
      <w:r w:rsidRPr="00EC428A">
        <w:rPr>
          <w:rFonts w:ascii="Segoe UI" w:eastAsia="Calibri" w:hAnsi="Segoe UI" w:cs="Segoe UI"/>
          <w:sz w:val="20"/>
          <w:szCs w:val="20"/>
        </w:rPr>
        <w:t>La France reste un fournisseur mineur du Sri Lanka – le 22</w:t>
      </w:r>
      <w:r w:rsidRPr="00EC428A">
        <w:rPr>
          <w:rFonts w:ascii="Segoe UI" w:eastAsia="Calibri" w:hAnsi="Segoe UI" w:cs="Segoe UI"/>
          <w:sz w:val="20"/>
          <w:szCs w:val="20"/>
          <w:vertAlign w:val="superscript"/>
        </w:rPr>
        <w:t>e</w:t>
      </w:r>
      <w:r w:rsidRPr="00EC428A">
        <w:rPr>
          <w:rFonts w:ascii="Segoe UI" w:eastAsia="Calibri" w:hAnsi="Segoe UI" w:cs="Segoe UI"/>
          <w:sz w:val="20"/>
          <w:szCs w:val="20"/>
        </w:rPr>
        <w:t xml:space="preserve"> en 2024 selon les statistiques locales- avec une part de marché évaluée à 0,8%.</w:t>
      </w:r>
    </w:p>
    <w:p w14:paraId="569509DD" w14:textId="3B40CFEB" w:rsidR="00384B3F" w:rsidRPr="00384B3F" w:rsidRDefault="00025B57" w:rsidP="00384B3F">
      <w:pPr>
        <w:pStyle w:val="Titre02"/>
      </w:pPr>
      <w:r w:rsidRPr="00025B57">
        <w:t>Des importations françaises concentrées sur quelques produits qui stagnent en 2024</w:t>
      </w:r>
    </w:p>
    <w:p w14:paraId="77336D01" w14:textId="77777777" w:rsidR="00025B57" w:rsidRPr="00025B57" w:rsidRDefault="00025B57" w:rsidP="00025B57">
      <w:pPr>
        <w:spacing w:before="120"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b/>
          <w:bCs/>
          <w:sz w:val="20"/>
          <w:szCs w:val="20"/>
          <w:lang w:eastAsia="fr-FR"/>
        </w:rPr>
        <w:t xml:space="preserve">Les exportations sri lankaises vers la France se sont légèrement repliées en 2024 (-3,8%) pour s’établir à 438 MEUR. </w:t>
      </w:r>
      <w:r w:rsidRPr="00025B57">
        <w:rPr>
          <w:rFonts w:ascii="Segoe UI" w:eastAsia="Times New Roman" w:hAnsi="Segoe UI" w:cs="Segoe UI"/>
          <w:sz w:val="20"/>
          <w:szCs w:val="20"/>
          <w:lang w:eastAsia="fr-FR"/>
        </w:rPr>
        <w:t>Le Sri Lanka se classe ainsi au 32</w:t>
      </w:r>
      <w:r w:rsidRPr="00025B57">
        <w:rPr>
          <w:rFonts w:ascii="Segoe UI" w:eastAsia="Times New Roman" w:hAnsi="Segoe UI" w:cs="Segoe UI"/>
          <w:sz w:val="20"/>
          <w:szCs w:val="20"/>
          <w:vertAlign w:val="superscript"/>
          <w:lang w:eastAsia="fr-FR"/>
        </w:rPr>
        <w:t>e</w:t>
      </w:r>
      <w:r w:rsidRPr="00025B57">
        <w:rPr>
          <w:rFonts w:ascii="Segoe UI" w:eastAsia="Times New Roman" w:hAnsi="Segoe UI" w:cs="Segoe UI"/>
          <w:sz w:val="20"/>
          <w:szCs w:val="20"/>
          <w:lang w:eastAsia="fr-FR"/>
        </w:rPr>
        <w:t xml:space="preserve"> rang de nos fournisseurs avec un accès au marché européen (et donc français) facilité par l’application du mécanisme dit « SPG+ ». En Asie du Sud, le Sri Lanka se classe au 4</w:t>
      </w:r>
      <w:r w:rsidRPr="00025B57">
        <w:rPr>
          <w:rFonts w:ascii="Segoe UI" w:eastAsia="Times New Roman" w:hAnsi="Segoe UI" w:cs="Segoe UI"/>
          <w:sz w:val="20"/>
          <w:szCs w:val="20"/>
          <w:vertAlign w:val="superscript"/>
          <w:lang w:eastAsia="fr-FR"/>
        </w:rPr>
        <w:t>e</w:t>
      </w:r>
      <w:r w:rsidRPr="00025B57">
        <w:rPr>
          <w:rFonts w:ascii="Segoe UI" w:eastAsia="Times New Roman" w:hAnsi="Segoe UI" w:cs="Segoe UI"/>
          <w:sz w:val="20"/>
          <w:szCs w:val="20"/>
          <w:lang w:eastAsia="fr-FR"/>
        </w:rPr>
        <w:t xml:space="preserve"> rang des fournisseurs de la France, derrière l’Inde, le Bangladesh et le Pakistan. Nos importations sont concentrées sur un très faible nombre de produits : le textile-habillement (248,4 MEUR, soit 56,7% du total), les produits agricoles et agro-alimentaires avec la pêche, le thé et les épices (67,8 MEUR, 15,5% du total), les articles en caoutchouc et plastique (39,8 MEUR, 9,1%) grâce à la présence de plusieurs usines du groupe Michelin sur place et les pierres précieuses et semi-précieuses (35,4 MEUR, 8,1%).</w:t>
      </w:r>
    </w:p>
    <w:p w14:paraId="0AE9B288"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p>
    <w:p w14:paraId="4272C5ED"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sz w:val="20"/>
          <w:szCs w:val="20"/>
          <w:lang w:eastAsia="fr-FR"/>
        </w:rPr>
        <w:lastRenderedPageBreak/>
        <w:t>La France constitue un client relativement important du Sri Lanka ; elle se classait, selon les statistiques locales, au 10</w:t>
      </w:r>
      <w:r w:rsidRPr="00025B57">
        <w:rPr>
          <w:rFonts w:ascii="Segoe UI" w:eastAsia="Times New Roman" w:hAnsi="Segoe UI" w:cs="Segoe UI"/>
          <w:sz w:val="20"/>
          <w:szCs w:val="20"/>
          <w:vertAlign w:val="superscript"/>
          <w:lang w:eastAsia="fr-FR"/>
        </w:rPr>
        <w:t>e</w:t>
      </w:r>
      <w:r w:rsidRPr="00025B57">
        <w:rPr>
          <w:rFonts w:ascii="Segoe UI" w:eastAsia="Times New Roman" w:hAnsi="Segoe UI" w:cs="Segoe UI"/>
          <w:sz w:val="20"/>
          <w:szCs w:val="20"/>
          <w:lang w:eastAsia="fr-FR"/>
        </w:rPr>
        <w:t xml:space="preserve"> rang, absorbant 2,1% de ses exportations.</w:t>
      </w:r>
    </w:p>
    <w:p w14:paraId="481FE99E"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p>
    <w:p w14:paraId="0B52280C" w14:textId="77777777" w:rsidR="00025B57" w:rsidRPr="00025B57" w:rsidRDefault="00025B57" w:rsidP="00025B57">
      <w:pPr>
        <w:spacing w:after="0" w:line="240" w:lineRule="auto"/>
        <w:ind w:left="-284"/>
        <w:jc w:val="both"/>
        <w:rPr>
          <w:rFonts w:ascii="Segoe UI" w:eastAsia="Times New Roman" w:hAnsi="Segoe UI" w:cs="Segoe UI"/>
          <w:sz w:val="20"/>
          <w:szCs w:val="20"/>
          <w:lang w:eastAsia="fr-FR"/>
        </w:rPr>
      </w:pPr>
      <w:r w:rsidRPr="00025B57">
        <w:rPr>
          <w:rFonts w:ascii="Segoe UI" w:eastAsia="Times New Roman" w:hAnsi="Segoe UI" w:cs="Segoe UI"/>
          <w:b/>
          <w:bCs/>
          <w:sz w:val="20"/>
          <w:szCs w:val="20"/>
          <w:lang w:eastAsia="fr-FR"/>
        </w:rPr>
        <w:t>Les échanges de services entre le Sri Lanka et la France restent modestes</w:t>
      </w:r>
      <w:r w:rsidRPr="00025B57">
        <w:rPr>
          <w:rFonts w:ascii="Segoe UI" w:eastAsia="Times New Roman" w:hAnsi="Segoe UI" w:cs="Segoe UI"/>
          <w:sz w:val="20"/>
          <w:szCs w:val="20"/>
          <w:lang w:eastAsia="fr-FR"/>
        </w:rPr>
        <w:t>. Ils ont atteint 235 MEUR en 2023 (derniers chiffres disponibles), dont 62 MEUR d’exportations françaises et 173 MEUR d’importations, essentiellement concentrées dans le secteur du tourisme.</w:t>
      </w:r>
    </w:p>
    <w:p w14:paraId="69D6F912" w14:textId="77777777" w:rsidR="00025B57" w:rsidRPr="00025B57" w:rsidRDefault="00025B57" w:rsidP="00025B57">
      <w:pPr>
        <w:spacing w:after="0" w:line="240" w:lineRule="auto"/>
        <w:ind w:left="-284"/>
        <w:jc w:val="both"/>
        <w:rPr>
          <w:rFonts w:ascii="Segoe UI" w:eastAsia="Times New Roman" w:hAnsi="Segoe UI" w:cs="Segoe UI"/>
          <w:b/>
          <w:bCs/>
          <w:sz w:val="20"/>
          <w:szCs w:val="20"/>
          <w:lang w:eastAsia="fr-FR"/>
        </w:rPr>
      </w:pPr>
    </w:p>
    <w:p w14:paraId="771E27E3" w14:textId="77777777" w:rsidR="00025B57" w:rsidRPr="00025B57" w:rsidRDefault="00025B57" w:rsidP="00025B57">
      <w:pPr>
        <w:spacing w:after="60" w:line="240" w:lineRule="auto"/>
        <w:ind w:left="-284"/>
        <w:jc w:val="both"/>
        <w:rPr>
          <w:rFonts w:ascii="Segoe UI" w:eastAsia="Calibri" w:hAnsi="Segoe UI" w:cs="Segoe UI"/>
          <w:bCs/>
          <w:sz w:val="20"/>
          <w:szCs w:val="20"/>
        </w:rPr>
      </w:pPr>
      <w:r w:rsidRPr="00025B57">
        <w:rPr>
          <w:rFonts w:ascii="Segoe UI" w:hAnsi="Segoe UI" w:cs="Segoe UI"/>
          <w:b/>
          <w:bCs/>
          <w:noProof/>
          <w:color w:val="000091" w:themeColor="text1"/>
          <w:sz w:val="20"/>
          <w:szCs w:val="20"/>
          <w:lang w:eastAsia="fr-FR"/>
        </w:rPr>
        <w:t>Perspectives :</w:t>
      </w:r>
      <w:r w:rsidRPr="00025B57">
        <w:rPr>
          <w:rFonts w:ascii="Segoe UI" w:eastAsia="Times New Roman" w:hAnsi="Segoe UI" w:cs="Segoe UI"/>
          <w:b/>
          <w:color w:val="0070C0"/>
          <w:sz w:val="20"/>
          <w:szCs w:val="20"/>
          <w:lang w:eastAsia="fr-FR"/>
        </w:rPr>
        <w:t xml:space="preserve">  </w:t>
      </w:r>
      <w:r w:rsidRPr="00025B57">
        <w:rPr>
          <w:rFonts w:ascii="Segoe UI" w:eastAsia="Calibri" w:hAnsi="Segoe UI" w:cs="Segoe UI"/>
          <w:bCs/>
          <w:sz w:val="20"/>
          <w:szCs w:val="20"/>
        </w:rPr>
        <w:t xml:space="preserve">La levée progressive des restrictions aux importations imposées par le Sri Lanka à partir de 2020, la stabilisation économique et la reprise notamment du secteur manufacturier devraient soutenir nos échanges bilatéraux, même si nos exportations ne progresseront de manière significative que si de nouvelles livraisons d’aéronefs interviennent. Les incertitudes quant à la politique commerciale qui sera suivie par les autorités américaines devraient conduire les exportateurs sri lankais à s’intéresser plus encore </w:t>
      </w:r>
      <w:proofErr w:type="gramStart"/>
      <w:r w:rsidRPr="00025B57">
        <w:rPr>
          <w:rFonts w:ascii="Segoe UI" w:eastAsia="Calibri" w:hAnsi="Segoe UI" w:cs="Segoe UI"/>
          <w:bCs/>
          <w:sz w:val="20"/>
          <w:szCs w:val="20"/>
        </w:rPr>
        <w:t>aux marchés européen</w:t>
      </w:r>
      <w:proofErr w:type="gramEnd"/>
      <w:r w:rsidRPr="00025B57">
        <w:rPr>
          <w:rFonts w:ascii="Segoe UI" w:eastAsia="Calibri" w:hAnsi="Segoe UI" w:cs="Segoe UI"/>
          <w:bCs/>
          <w:sz w:val="20"/>
          <w:szCs w:val="20"/>
        </w:rPr>
        <w:t xml:space="preserve"> en général et français en particulier et donc à accroître leurs ventes de textile-habillement en France même si la consommation dans ce secteur devait stagner, comme ce fut le cas en 2024.</w:t>
      </w:r>
    </w:p>
    <w:p w14:paraId="004A9CE8" w14:textId="31421280" w:rsidR="00025B57" w:rsidRDefault="00025B57" w:rsidP="008523C9">
      <w:pPr>
        <w:spacing w:before="120" w:after="0"/>
        <w:ind w:left="-284"/>
        <w:jc w:val="both"/>
        <w:rPr>
          <w:rStyle w:val="Lienhypertexte"/>
          <w:rFonts w:ascii="Segoe UI" w:hAnsi="Segoe UI" w:cs="Segoe UI"/>
          <w:b/>
          <w:bCs/>
          <w:noProof/>
          <w:color w:val="auto"/>
          <w:sz w:val="20"/>
          <w:szCs w:val="20"/>
          <w:u w:val="none"/>
        </w:rPr>
      </w:pPr>
    </w:p>
    <w:p w14:paraId="34E2C9A8" w14:textId="1EEE4EDD" w:rsidR="00FD7798" w:rsidRDefault="00180A83" w:rsidP="00D62BB6">
      <w:pPr>
        <w:spacing w:before="120" w:after="0"/>
        <w:ind w:left="-284"/>
        <w:jc w:val="right"/>
        <w:rPr>
          <w:rFonts w:ascii="Segoe UI" w:hAnsi="Segoe UI" w:cs="Segoe UI"/>
          <w:b/>
          <w:sz w:val="18"/>
          <w:szCs w:val="18"/>
        </w:rPr>
      </w:pPr>
      <w:r>
        <w:rPr>
          <w:rFonts w:ascii="Segoe UI" w:hAnsi="Segoe UI" w:cs="Segoe UI"/>
          <w:b/>
          <w:sz w:val="18"/>
          <w:szCs w:val="18"/>
        </w:rPr>
        <w:t>Philippe FOUET</w:t>
      </w:r>
    </w:p>
    <w:p w14:paraId="3754432F" w14:textId="0A6B1FF7" w:rsidR="00096333" w:rsidRDefault="00096333" w:rsidP="00D62BB6">
      <w:pPr>
        <w:spacing w:before="120" w:after="0"/>
        <w:ind w:left="-284"/>
        <w:jc w:val="right"/>
        <w:rPr>
          <w:rFonts w:ascii="Segoe UI" w:hAnsi="Segoe UI" w:cs="Segoe UI"/>
          <w:b/>
          <w:sz w:val="18"/>
          <w:szCs w:val="18"/>
        </w:rPr>
      </w:pPr>
      <w:r>
        <w:rPr>
          <w:rFonts w:ascii="Segoe UI" w:hAnsi="Segoe UI" w:cs="Segoe UI"/>
          <w:b/>
          <w:sz w:val="18"/>
          <w:szCs w:val="18"/>
        </w:rPr>
        <w:br w:type="page"/>
      </w:r>
    </w:p>
    <w:p w14:paraId="07EA7929" w14:textId="35DD63E5" w:rsidR="00096333" w:rsidRDefault="00096333" w:rsidP="00096333">
      <w:pPr>
        <w:spacing w:after="120"/>
        <w:ind w:left="2410"/>
        <w:rPr>
          <w:rFonts w:ascii="Segoe UI" w:hAnsi="Segoe UI" w:cs="Segoe UI"/>
          <w:bCs/>
          <w:i/>
          <w:iCs/>
          <w:sz w:val="20"/>
          <w:szCs w:val="20"/>
        </w:rPr>
      </w:pPr>
      <w:r w:rsidRPr="00096333">
        <w:rPr>
          <w:rFonts w:ascii="Segoe UI" w:hAnsi="Segoe UI" w:cs="Segoe UI"/>
          <w:b/>
          <w:sz w:val="20"/>
          <w:szCs w:val="20"/>
        </w:rPr>
        <w:lastRenderedPageBreak/>
        <w:t xml:space="preserve">ANNEXES </w:t>
      </w:r>
      <w:r w:rsidRPr="00096333">
        <w:rPr>
          <w:rFonts w:ascii="Segoe UI" w:hAnsi="Segoe UI" w:cs="Segoe UI"/>
          <w:bCs/>
          <w:i/>
          <w:iCs/>
          <w:sz w:val="20"/>
          <w:szCs w:val="20"/>
        </w:rPr>
        <w:t xml:space="preserve">(Source : </w:t>
      </w:r>
      <w:r w:rsidR="00BD0809">
        <w:rPr>
          <w:rFonts w:ascii="Segoe UI" w:hAnsi="Segoe UI" w:cs="Segoe UI"/>
          <w:bCs/>
          <w:i/>
          <w:iCs/>
          <w:sz w:val="20"/>
          <w:szCs w:val="20"/>
        </w:rPr>
        <w:t>Douanes françaises</w:t>
      </w:r>
      <w:r w:rsidRPr="00096333">
        <w:rPr>
          <w:rFonts w:ascii="Segoe UI" w:hAnsi="Segoe UI" w:cs="Segoe UI"/>
          <w:bCs/>
          <w:i/>
          <w:iCs/>
          <w:sz w:val="20"/>
          <w:szCs w:val="20"/>
        </w:rPr>
        <w:t>)</w:t>
      </w:r>
    </w:p>
    <w:p w14:paraId="293E5535" w14:textId="43ABCB68" w:rsidR="00BD0809" w:rsidRPr="00217716" w:rsidRDefault="00BD0809" w:rsidP="00BD0809">
      <w:pPr>
        <w:spacing w:line="240" w:lineRule="auto"/>
        <w:jc w:val="center"/>
        <w:rPr>
          <w:rFonts w:ascii="Segoe UI" w:hAnsi="Segoe UI" w:cs="Segoe UI"/>
          <w:b/>
          <w:sz w:val="20"/>
          <w:szCs w:val="20"/>
        </w:rPr>
      </w:pPr>
      <w:r w:rsidRPr="00217716">
        <w:rPr>
          <w:rFonts w:ascii="Segoe UI" w:hAnsi="Segoe UI" w:cs="Segoe UI"/>
          <w:b/>
          <w:sz w:val="20"/>
          <w:szCs w:val="20"/>
        </w:rPr>
        <w:t xml:space="preserve">Evolution du commerce bilatéral France-Sri Lanka au cours des 10 dernières années </w:t>
      </w:r>
      <w:r w:rsidRPr="00217716">
        <w:rPr>
          <w:rFonts w:ascii="Segoe UI" w:hAnsi="Segoe UI" w:cs="Segoe UI"/>
          <w:bCs/>
          <w:sz w:val="20"/>
          <w:szCs w:val="20"/>
        </w:rPr>
        <w:t>(MEUR)</w:t>
      </w:r>
    </w:p>
    <w:p w14:paraId="28207F28" w14:textId="60E565CD" w:rsidR="00025B57" w:rsidRDefault="00BD0809" w:rsidP="00BD0809">
      <w:pPr>
        <w:spacing w:after="120"/>
        <w:ind w:left="-284"/>
        <w:jc w:val="center"/>
        <w:rPr>
          <w:rFonts w:ascii="Segoe UI" w:hAnsi="Segoe UI" w:cs="Segoe UI"/>
          <w:bCs/>
          <w:i/>
          <w:iCs/>
          <w:sz w:val="20"/>
          <w:szCs w:val="20"/>
        </w:rPr>
      </w:pPr>
      <w:r>
        <w:rPr>
          <w:noProof/>
        </w:rPr>
        <w:drawing>
          <wp:inline distT="0" distB="0" distL="0" distR="0" wp14:anchorId="654E4E47" wp14:editId="57463A5D">
            <wp:extent cx="5324475" cy="2476500"/>
            <wp:effectExtent l="0" t="0" r="9525" b="0"/>
            <wp:docPr id="13" name="Graphique 13">
              <a:extLst xmlns:a="http://schemas.openxmlformats.org/drawingml/2006/main">
                <a:ext uri="{FF2B5EF4-FFF2-40B4-BE49-F238E27FC236}">
                  <a16:creationId xmlns:a16="http://schemas.microsoft.com/office/drawing/2014/main" id="{32E18824-677D-494D-80B3-5A99DC317F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DCEE17" w14:textId="6C6A6160" w:rsidR="00BD0809" w:rsidRPr="00217716" w:rsidRDefault="00BD0809" w:rsidP="00BD0809">
      <w:pPr>
        <w:spacing w:after="200" w:line="240" w:lineRule="auto"/>
        <w:jc w:val="center"/>
        <w:rPr>
          <w:rFonts w:ascii="Segoe UI" w:hAnsi="Segoe UI" w:cs="Segoe UI"/>
          <w:b/>
          <w:bCs/>
          <w:noProof/>
          <w:sz w:val="20"/>
          <w:szCs w:val="20"/>
          <w:lang w:eastAsia="fr-FR"/>
        </w:rPr>
      </w:pPr>
      <w:r w:rsidRPr="00217716">
        <w:rPr>
          <w:rFonts w:ascii="Segoe UI" w:hAnsi="Segoe UI" w:cs="Segoe UI"/>
          <w:b/>
          <w:bCs/>
          <w:noProof/>
          <w:sz w:val="20"/>
          <w:szCs w:val="20"/>
          <w:lang w:eastAsia="fr-FR"/>
        </w:rPr>
        <w:t>Principales exportations françaises par secteurs en MEUR et part dans le total</w:t>
      </w:r>
      <w:r w:rsidR="00E551BA">
        <w:rPr>
          <w:rFonts w:ascii="Segoe UI" w:hAnsi="Segoe UI" w:cs="Segoe UI"/>
          <w:b/>
          <w:bCs/>
          <w:noProof/>
          <w:sz w:val="20"/>
          <w:szCs w:val="20"/>
          <w:lang w:eastAsia="fr-FR"/>
        </w:rPr>
        <w:t xml:space="preserve"> </w:t>
      </w:r>
      <w:r w:rsidR="00E551BA" w:rsidRPr="00E551BA">
        <w:rPr>
          <w:rFonts w:ascii="Segoe UI" w:hAnsi="Segoe UI" w:cs="Segoe UI"/>
          <w:noProof/>
          <w:sz w:val="20"/>
          <w:szCs w:val="20"/>
          <w:lang w:eastAsia="fr-FR"/>
        </w:rPr>
        <w:t>(2024)</w:t>
      </w:r>
    </w:p>
    <w:p w14:paraId="7385CDE5" w14:textId="62759B2A" w:rsidR="00BD0809" w:rsidRDefault="00BD0809" w:rsidP="00BD0809">
      <w:pPr>
        <w:spacing w:after="120"/>
        <w:ind w:left="-284"/>
        <w:jc w:val="center"/>
        <w:rPr>
          <w:rFonts w:ascii="Segoe UI" w:hAnsi="Segoe UI" w:cs="Segoe UI"/>
          <w:bCs/>
          <w:i/>
          <w:iCs/>
          <w:sz w:val="20"/>
          <w:szCs w:val="20"/>
        </w:rPr>
      </w:pPr>
      <w:r w:rsidRPr="00012481">
        <w:rPr>
          <w:noProof/>
          <w:shd w:val="clear" w:color="auto" w:fill="6CFFEF" w:themeFill="accent1" w:themeFillTint="66"/>
        </w:rPr>
        <w:drawing>
          <wp:inline distT="0" distB="0" distL="0" distR="0" wp14:anchorId="1913F137" wp14:editId="16DACFE7">
            <wp:extent cx="5257800" cy="2514600"/>
            <wp:effectExtent l="0" t="0" r="0" b="0"/>
            <wp:docPr id="23" name="Graphique 23">
              <a:extLst xmlns:a="http://schemas.openxmlformats.org/drawingml/2006/main">
                <a:ext uri="{FF2B5EF4-FFF2-40B4-BE49-F238E27FC236}">
                  <a16:creationId xmlns:a16="http://schemas.microsoft.com/office/drawing/2014/main" id="{34970B8E-78B9-47AA-95BE-7D7D9825E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A2FBF5" w14:textId="3F649C16" w:rsidR="00217716" w:rsidRPr="00217716" w:rsidRDefault="00217716" w:rsidP="00217716">
      <w:pPr>
        <w:spacing w:after="200" w:line="240" w:lineRule="auto"/>
        <w:jc w:val="center"/>
        <w:rPr>
          <w:rFonts w:ascii="Segoe UI" w:hAnsi="Segoe UI" w:cs="Segoe UI"/>
          <w:b/>
          <w:bCs/>
          <w:noProof/>
          <w:sz w:val="20"/>
          <w:szCs w:val="20"/>
          <w:lang w:eastAsia="fr-FR"/>
        </w:rPr>
      </w:pPr>
      <w:r w:rsidRPr="00217716">
        <w:rPr>
          <w:rFonts w:ascii="Segoe UI" w:hAnsi="Segoe UI" w:cs="Segoe UI"/>
          <w:b/>
          <w:bCs/>
          <w:noProof/>
          <w:sz w:val="20"/>
          <w:szCs w:val="20"/>
          <w:lang w:eastAsia="fr-FR"/>
        </w:rPr>
        <w:t>Principales importations françaises par secteurs en MEUR et part dans le total</w:t>
      </w:r>
      <w:r w:rsidR="00E551BA">
        <w:rPr>
          <w:rFonts w:ascii="Segoe UI" w:hAnsi="Segoe UI" w:cs="Segoe UI"/>
          <w:b/>
          <w:bCs/>
          <w:noProof/>
          <w:sz w:val="20"/>
          <w:szCs w:val="20"/>
          <w:lang w:eastAsia="fr-FR"/>
        </w:rPr>
        <w:t xml:space="preserve"> </w:t>
      </w:r>
      <w:r w:rsidR="00E551BA" w:rsidRPr="00E551BA">
        <w:rPr>
          <w:rFonts w:ascii="Segoe UI" w:hAnsi="Segoe UI" w:cs="Segoe UI"/>
          <w:noProof/>
          <w:sz w:val="20"/>
          <w:szCs w:val="20"/>
          <w:lang w:eastAsia="fr-FR"/>
        </w:rPr>
        <w:t>(2024)</w:t>
      </w:r>
    </w:p>
    <w:p w14:paraId="04ABA661" w14:textId="08AA7089" w:rsidR="00217716" w:rsidRDefault="00217716" w:rsidP="00217716">
      <w:pPr>
        <w:spacing w:after="200" w:line="240" w:lineRule="auto"/>
        <w:jc w:val="center"/>
        <w:rPr>
          <w:rFonts w:ascii="Segoe UI" w:hAnsi="Segoe UI" w:cs="Segoe UI"/>
          <w:b/>
          <w:bCs/>
          <w:noProof/>
          <w:lang w:eastAsia="fr-FR"/>
        </w:rPr>
      </w:pPr>
      <w:r>
        <w:rPr>
          <w:noProof/>
        </w:rPr>
        <w:drawing>
          <wp:inline distT="0" distB="0" distL="0" distR="0" wp14:anchorId="29813789" wp14:editId="63668DD5">
            <wp:extent cx="5067300" cy="2876550"/>
            <wp:effectExtent l="0" t="0" r="0" b="0"/>
            <wp:docPr id="15" name="Graphique 15">
              <a:extLst xmlns:a="http://schemas.openxmlformats.org/drawingml/2006/main">
                <a:ext uri="{FF2B5EF4-FFF2-40B4-BE49-F238E27FC236}">
                  <a16:creationId xmlns:a16="http://schemas.microsoft.com/office/drawing/2014/main" id="{936FF295-BDDE-4E41-8722-40032992B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A9D9F0" w14:textId="7F6BC056" w:rsidR="00217716" w:rsidRDefault="00217716" w:rsidP="00217716">
      <w:pPr>
        <w:spacing w:after="0" w:line="240" w:lineRule="auto"/>
        <w:jc w:val="center"/>
        <w:rPr>
          <w:rFonts w:eastAsia="Calibri" w:cstheme="minorHAnsi"/>
          <w:b/>
          <w:color w:val="833513" w:themeColor="accent3" w:themeShade="80"/>
          <w:sz w:val="24"/>
          <w:szCs w:val="24"/>
          <w:u w:val="single"/>
        </w:rPr>
      </w:pPr>
    </w:p>
    <w:p w14:paraId="63BEA923" w14:textId="246B9456" w:rsidR="00217716" w:rsidRDefault="00217716" w:rsidP="00217716">
      <w:pPr>
        <w:spacing w:after="0" w:line="240" w:lineRule="auto"/>
        <w:jc w:val="center"/>
        <w:rPr>
          <w:rFonts w:eastAsia="Calibri" w:cstheme="minorHAnsi"/>
          <w:b/>
          <w:color w:val="833513" w:themeColor="accent3" w:themeShade="80"/>
          <w:sz w:val="24"/>
          <w:szCs w:val="24"/>
          <w:u w:val="single"/>
        </w:rPr>
      </w:pPr>
    </w:p>
    <w:p w14:paraId="171B8B36" w14:textId="77777777" w:rsidR="00690711" w:rsidRDefault="00690711" w:rsidP="00690711">
      <w:pPr>
        <w:spacing w:after="0" w:line="240" w:lineRule="auto"/>
        <w:rPr>
          <w:rFonts w:ascii="Segoe UI" w:hAnsi="Segoe UI" w:cs="Segoe UI"/>
          <w:b/>
          <w:bCs/>
          <w:noProof/>
          <w:sz w:val="20"/>
          <w:szCs w:val="20"/>
          <w:lang w:eastAsia="fr-FR"/>
        </w:rPr>
        <w:sectPr w:rsidR="00690711" w:rsidSect="00415F39">
          <w:endnotePr>
            <w:numFmt w:val="decimal"/>
          </w:endnotePr>
          <w:pgSz w:w="11906" w:h="16838"/>
          <w:pgMar w:top="709" w:right="1274" w:bottom="709" w:left="1417" w:header="708" w:footer="708" w:gutter="0"/>
          <w:cols w:space="708"/>
          <w:docGrid w:linePitch="360"/>
        </w:sectPr>
      </w:pPr>
    </w:p>
    <w:p w14:paraId="7D1B8136" w14:textId="589995FA" w:rsidR="00217716" w:rsidRPr="00217716" w:rsidRDefault="00217716" w:rsidP="00217716">
      <w:pPr>
        <w:spacing w:after="0" w:line="240" w:lineRule="auto"/>
        <w:jc w:val="center"/>
        <w:rPr>
          <w:rFonts w:ascii="Segoe UI" w:hAnsi="Segoe UI" w:cs="Segoe UI"/>
          <w:b/>
          <w:bCs/>
          <w:noProof/>
          <w:sz w:val="20"/>
          <w:szCs w:val="20"/>
          <w:lang w:eastAsia="fr-FR"/>
        </w:rPr>
      </w:pPr>
      <w:r>
        <w:rPr>
          <w:rFonts w:ascii="Segoe UI" w:hAnsi="Segoe UI" w:cs="Segoe UI"/>
          <w:b/>
          <w:bCs/>
          <w:noProof/>
          <w:sz w:val="20"/>
          <w:szCs w:val="20"/>
          <w:lang w:eastAsia="fr-FR"/>
        </w:rPr>
        <w:lastRenderedPageBreak/>
        <w:t>E</w:t>
      </w:r>
      <w:r w:rsidRPr="00217716">
        <w:rPr>
          <w:rFonts w:ascii="Segoe UI" w:hAnsi="Segoe UI" w:cs="Segoe UI"/>
          <w:b/>
          <w:bCs/>
          <w:noProof/>
          <w:sz w:val="20"/>
          <w:szCs w:val="20"/>
          <w:lang w:eastAsia="fr-FR"/>
        </w:rPr>
        <w:t>changes commerciaux bilatéraux par catégories de produits entre 2023 et 2024</w:t>
      </w:r>
    </w:p>
    <w:p w14:paraId="0DABF151" w14:textId="4CBE756A" w:rsidR="00217716" w:rsidRDefault="00217716" w:rsidP="00217716">
      <w:pPr>
        <w:spacing w:after="200" w:line="240" w:lineRule="auto"/>
        <w:jc w:val="center"/>
        <w:rPr>
          <w:rFonts w:ascii="Segoe UI" w:hAnsi="Segoe UI" w:cs="Segoe UI"/>
          <w:b/>
          <w:bCs/>
          <w:noProof/>
          <w:lang w:eastAsia="fr-FR"/>
        </w:rPr>
      </w:pPr>
    </w:p>
    <w:p w14:paraId="41AB37F4" w14:textId="58AC4B22" w:rsidR="00217716" w:rsidRPr="00097ED3" w:rsidRDefault="00217716" w:rsidP="00217716">
      <w:pPr>
        <w:spacing w:after="200" w:line="240" w:lineRule="auto"/>
        <w:jc w:val="center"/>
        <w:rPr>
          <w:rFonts w:ascii="Segoe UI" w:hAnsi="Segoe UI" w:cs="Segoe UI"/>
          <w:b/>
          <w:bCs/>
          <w:noProof/>
          <w:lang w:eastAsia="fr-FR"/>
        </w:rPr>
      </w:pPr>
      <w:r w:rsidRPr="00097ED3">
        <w:rPr>
          <w:noProof/>
        </w:rPr>
        <w:drawing>
          <wp:inline distT="0" distB="0" distL="0" distR="0" wp14:anchorId="64CB4AF7" wp14:editId="797B7067">
            <wp:extent cx="9039225" cy="48006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1820" cy="4807289"/>
                    </a:xfrm>
                    <a:prstGeom prst="rect">
                      <a:avLst/>
                    </a:prstGeom>
                    <a:noFill/>
                    <a:ln>
                      <a:noFill/>
                    </a:ln>
                  </pic:spPr>
                </pic:pic>
              </a:graphicData>
            </a:graphic>
          </wp:inline>
        </w:drawing>
      </w:r>
    </w:p>
    <w:p w14:paraId="54CE907E" w14:textId="77777777" w:rsidR="00BD0809" w:rsidRPr="00096333" w:rsidRDefault="00BD0809" w:rsidP="00BD0809">
      <w:pPr>
        <w:spacing w:after="120"/>
        <w:ind w:left="-284"/>
        <w:jc w:val="center"/>
        <w:rPr>
          <w:rFonts w:ascii="Segoe UI" w:hAnsi="Segoe UI" w:cs="Segoe UI"/>
          <w:bCs/>
          <w:i/>
          <w:iCs/>
          <w:sz w:val="20"/>
          <w:szCs w:val="20"/>
        </w:rPr>
      </w:pPr>
    </w:p>
    <w:sectPr w:rsidR="00BD0809" w:rsidRPr="00096333" w:rsidSect="00690711">
      <w:endnotePr>
        <w:numFmt w:val="decimal"/>
      </w:endnotePr>
      <w:pgSz w:w="16838" w:h="11906" w:orient="landscape"/>
      <w:pgMar w:top="1418" w:right="709" w:bottom="1276"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91F1" w14:textId="77777777" w:rsidR="00BF0863" w:rsidRDefault="00BF0863" w:rsidP="001C2361">
      <w:pPr>
        <w:spacing w:after="0" w:line="240" w:lineRule="auto"/>
      </w:pPr>
      <w:r>
        <w:separator/>
      </w:r>
    </w:p>
  </w:endnote>
  <w:endnote w:type="continuationSeparator" w:id="0">
    <w:p w14:paraId="16D83FBF" w14:textId="77777777" w:rsidR="00BF0863" w:rsidRDefault="00BF0863"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C33D5" w14:textId="77777777" w:rsidR="00BF0863" w:rsidRDefault="00BF0863" w:rsidP="001C2361">
      <w:pPr>
        <w:spacing w:after="0" w:line="240" w:lineRule="auto"/>
      </w:pPr>
      <w:r>
        <w:separator/>
      </w:r>
    </w:p>
  </w:footnote>
  <w:footnote w:type="continuationSeparator" w:id="0">
    <w:p w14:paraId="18389F66" w14:textId="77777777" w:rsidR="00BF0863" w:rsidRDefault="00BF0863"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E0"/>
    <w:multiLevelType w:val="hybridMultilevel"/>
    <w:tmpl w:val="3B42BF0A"/>
    <w:lvl w:ilvl="0" w:tplc="C152E658">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2"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4577E0"/>
    <w:multiLevelType w:val="hybridMultilevel"/>
    <w:tmpl w:val="22BAA7EA"/>
    <w:lvl w:ilvl="0" w:tplc="57B659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139457D1"/>
    <w:multiLevelType w:val="hybridMultilevel"/>
    <w:tmpl w:val="784C5D20"/>
    <w:lvl w:ilvl="0" w:tplc="0EF8A5D6">
      <w:start w:val="23"/>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3122AD1"/>
    <w:multiLevelType w:val="hybridMultilevel"/>
    <w:tmpl w:val="3762F328"/>
    <w:lvl w:ilvl="0" w:tplc="FBDCF0CA">
      <w:start w:val="1"/>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09509E0"/>
    <w:multiLevelType w:val="hybridMultilevel"/>
    <w:tmpl w:val="F4784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7732EB"/>
    <w:multiLevelType w:val="hybridMultilevel"/>
    <w:tmpl w:val="48ECF4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20" w15:restartNumberingAfterBreak="0">
    <w:nsid w:val="77391B68"/>
    <w:multiLevelType w:val="hybridMultilevel"/>
    <w:tmpl w:val="87FC47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1"/>
  </w:num>
  <w:num w:numId="6">
    <w:abstractNumId w:val="18"/>
  </w:num>
  <w:num w:numId="7">
    <w:abstractNumId w:val="8"/>
  </w:num>
  <w:num w:numId="8">
    <w:abstractNumId w:val="7"/>
  </w:num>
  <w:num w:numId="9">
    <w:abstractNumId w:val="2"/>
  </w:num>
  <w:num w:numId="10">
    <w:abstractNumId w:val="13"/>
  </w:num>
  <w:num w:numId="11">
    <w:abstractNumId w:val="10"/>
  </w:num>
  <w:num w:numId="12">
    <w:abstractNumId w:val="1"/>
  </w:num>
  <w:num w:numId="13">
    <w:abstractNumId w:val="4"/>
  </w:num>
  <w:num w:numId="14">
    <w:abstractNumId w:val="16"/>
  </w:num>
  <w:num w:numId="15">
    <w:abstractNumId w:val="11"/>
  </w:num>
  <w:num w:numId="16">
    <w:abstractNumId w:val="3"/>
  </w:num>
  <w:num w:numId="17">
    <w:abstractNumId w:val="5"/>
  </w:num>
  <w:num w:numId="18">
    <w:abstractNumId w:val="20"/>
  </w:num>
  <w:num w:numId="19">
    <w:abstractNumId w:val="14"/>
  </w:num>
  <w:num w:numId="20">
    <w:abstractNumId w:val="0"/>
  </w:num>
  <w:num w:numId="21">
    <w:abstractNumId w:val="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64C1"/>
    <w:rsid w:val="00006D9E"/>
    <w:rsid w:val="00006E50"/>
    <w:rsid w:val="00011240"/>
    <w:rsid w:val="00020EE2"/>
    <w:rsid w:val="00022880"/>
    <w:rsid w:val="00022F44"/>
    <w:rsid w:val="00025B57"/>
    <w:rsid w:val="00031533"/>
    <w:rsid w:val="00045CF8"/>
    <w:rsid w:val="00050225"/>
    <w:rsid w:val="000534EC"/>
    <w:rsid w:val="00064115"/>
    <w:rsid w:val="000676F2"/>
    <w:rsid w:val="00071F97"/>
    <w:rsid w:val="000763B3"/>
    <w:rsid w:val="00080037"/>
    <w:rsid w:val="00096333"/>
    <w:rsid w:val="00097777"/>
    <w:rsid w:val="000A1918"/>
    <w:rsid w:val="000B0835"/>
    <w:rsid w:val="000C5C9A"/>
    <w:rsid w:val="000E1E2F"/>
    <w:rsid w:val="000E2B14"/>
    <w:rsid w:val="000E7793"/>
    <w:rsid w:val="000F2C4E"/>
    <w:rsid w:val="00100569"/>
    <w:rsid w:val="00100C95"/>
    <w:rsid w:val="001105E1"/>
    <w:rsid w:val="001109EF"/>
    <w:rsid w:val="00111C32"/>
    <w:rsid w:val="0012430D"/>
    <w:rsid w:val="00130344"/>
    <w:rsid w:val="00134DE8"/>
    <w:rsid w:val="001360A8"/>
    <w:rsid w:val="00147754"/>
    <w:rsid w:val="001505C0"/>
    <w:rsid w:val="00152C27"/>
    <w:rsid w:val="00154E2B"/>
    <w:rsid w:val="00172DE0"/>
    <w:rsid w:val="00175E92"/>
    <w:rsid w:val="00177794"/>
    <w:rsid w:val="00180A83"/>
    <w:rsid w:val="00184135"/>
    <w:rsid w:val="0019173B"/>
    <w:rsid w:val="0019280B"/>
    <w:rsid w:val="001A1A43"/>
    <w:rsid w:val="001A1CD5"/>
    <w:rsid w:val="001A5A37"/>
    <w:rsid w:val="001B1CF0"/>
    <w:rsid w:val="001B27B9"/>
    <w:rsid w:val="001C100F"/>
    <w:rsid w:val="001C2361"/>
    <w:rsid w:val="001C5F2D"/>
    <w:rsid w:val="001E4D67"/>
    <w:rsid w:val="001F235A"/>
    <w:rsid w:val="001F2D7C"/>
    <w:rsid w:val="001F4DBB"/>
    <w:rsid w:val="002048B4"/>
    <w:rsid w:val="00217716"/>
    <w:rsid w:val="00223554"/>
    <w:rsid w:val="00225798"/>
    <w:rsid w:val="00237439"/>
    <w:rsid w:val="00246C65"/>
    <w:rsid w:val="00250F27"/>
    <w:rsid w:val="002550BB"/>
    <w:rsid w:val="00255F30"/>
    <w:rsid w:val="00257E48"/>
    <w:rsid w:val="002762C9"/>
    <w:rsid w:val="00281BCD"/>
    <w:rsid w:val="0028390D"/>
    <w:rsid w:val="002A02A2"/>
    <w:rsid w:val="002D13A2"/>
    <w:rsid w:val="002D4C04"/>
    <w:rsid w:val="002E6890"/>
    <w:rsid w:val="002E7383"/>
    <w:rsid w:val="002F210F"/>
    <w:rsid w:val="0030017B"/>
    <w:rsid w:val="00301021"/>
    <w:rsid w:val="0030148A"/>
    <w:rsid w:val="00304863"/>
    <w:rsid w:val="00313406"/>
    <w:rsid w:val="00317870"/>
    <w:rsid w:val="00323A4A"/>
    <w:rsid w:val="003257BD"/>
    <w:rsid w:val="0033036F"/>
    <w:rsid w:val="00330428"/>
    <w:rsid w:val="00331019"/>
    <w:rsid w:val="00332310"/>
    <w:rsid w:val="003339CE"/>
    <w:rsid w:val="003407BF"/>
    <w:rsid w:val="00341E94"/>
    <w:rsid w:val="00341EC1"/>
    <w:rsid w:val="00344131"/>
    <w:rsid w:val="00347F9E"/>
    <w:rsid w:val="00351E1C"/>
    <w:rsid w:val="00377143"/>
    <w:rsid w:val="00377431"/>
    <w:rsid w:val="003847EC"/>
    <w:rsid w:val="00384B3F"/>
    <w:rsid w:val="00393D06"/>
    <w:rsid w:val="003A1D94"/>
    <w:rsid w:val="003A4872"/>
    <w:rsid w:val="003A7EB8"/>
    <w:rsid w:val="003B1A22"/>
    <w:rsid w:val="003B33D3"/>
    <w:rsid w:val="003C2F51"/>
    <w:rsid w:val="003D2AD3"/>
    <w:rsid w:val="003D5550"/>
    <w:rsid w:val="003D6537"/>
    <w:rsid w:val="0040330E"/>
    <w:rsid w:val="00406D60"/>
    <w:rsid w:val="00415F39"/>
    <w:rsid w:val="00426E12"/>
    <w:rsid w:val="004311AF"/>
    <w:rsid w:val="004372C1"/>
    <w:rsid w:val="00450D73"/>
    <w:rsid w:val="00452C51"/>
    <w:rsid w:val="00457B18"/>
    <w:rsid w:val="00463378"/>
    <w:rsid w:val="004716CD"/>
    <w:rsid w:val="00471702"/>
    <w:rsid w:val="00472C6F"/>
    <w:rsid w:val="00490640"/>
    <w:rsid w:val="004908E5"/>
    <w:rsid w:val="00490B3C"/>
    <w:rsid w:val="004919E8"/>
    <w:rsid w:val="00496D10"/>
    <w:rsid w:val="004A28DB"/>
    <w:rsid w:val="004B0D65"/>
    <w:rsid w:val="004C3273"/>
    <w:rsid w:val="004D444C"/>
    <w:rsid w:val="004D7C76"/>
    <w:rsid w:val="004E6C1A"/>
    <w:rsid w:val="004E6DB3"/>
    <w:rsid w:val="004E7972"/>
    <w:rsid w:val="004F211B"/>
    <w:rsid w:val="004F4EE9"/>
    <w:rsid w:val="005051E0"/>
    <w:rsid w:val="005066FB"/>
    <w:rsid w:val="005077FB"/>
    <w:rsid w:val="00532CDF"/>
    <w:rsid w:val="00532CE3"/>
    <w:rsid w:val="00533C10"/>
    <w:rsid w:val="00541AB4"/>
    <w:rsid w:val="00543CA9"/>
    <w:rsid w:val="00545FE6"/>
    <w:rsid w:val="00557E89"/>
    <w:rsid w:val="00561CC4"/>
    <w:rsid w:val="00570D3F"/>
    <w:rsid w:val="00575F99"/>
    <w:rsid w:val="005806A2"/>
    <w:rsid w:val="00581DDD"/>
    <w:rsid w:val="00581E35"/>
    <w:rsid w:val="00584799"/>
    <w:rsid w:val="00590894"/>
    <w:rsid w:val="00591EEF"/>
    <w:rsid w:val="0059242E"/>
    <w:rsid w:val="005928D4"/>
    <w:rsid w:val="00595003"/>
    <w:rsid w:val="005A1ECF"/>
    <w:rsid w:val="005A5D69"/>
    <w:rsid w:val="005B16AF"/>
    <w:rsid w:val="005B28D9"/>
    <w:rsid w:val="005B3D40"/>
    <w:rsid w:val="005C4075"/>
    <w:rsid w:val="005D1ACB"/>
    <w:rsid w:val="005E6FED"/>
    <w:rsid w:val="005F0D8C"/>
    <w:rsid w:val="005F3966"/>
    <w:rsid w:val="005F6235"/>
    <w:rsid w:val="00610942"/>
    <w:rsid w:val="00616EE2"/>
    <w:rsid w:val="00627753"/>
    <w:rsid w:val="00632692"/>
    <w:rsid w:val="00641868"/>
    <w:rsid w:val="006477A2"/>
    <w:rsid w:val="006600F3"/>
    <w:rsid w:val="00663E46"/>
    <w:rsid w:val="00690711"/>
    <w:rsid w:val="006A0293"/>
    <w:rsid w:val="006A3795"/>
    <w:rsid w:val="006B18EE"/>
    <w:rsid w:val="006B4AE0"/>
    <w:rsid w:val="006B5511"/>
    <w:rsid w:val="006D209E"/>
    <w:rsid w:val="006D4D83"/>
    <w:rsid w:val="006D5874"/>
    <w:rsid w:val="006E40BB"/>
    <w:rsid w:val="006E40EC"/>
    <w:rsid w:val="006E6805"/>
    <w:rsid w:val="006E6FA7"/>
    <w:rsid w:val="006F4CCE"/>
    <w:rsid w:val="006F6043"/>
    <w:rsid w:val="00706D2B"/>
    <w:rsid w:val="0071067D"/>
    <w:rsid w:val="00713D95"/>
    <w:rsid w:val="007209E2"/>
    <w:rsid w:val="007241D4"/>
    <w:rsid w:val="00727D83"/>
    <w:rsid w:val="0073215D"/>
    <w:rsid w:val="0073377D"/>
    <w:rsid w:val="00733B08"/>
    <w:rsid w:val="00733CCE"/>
    <w:rsid w:val="00743DD2"/>
    <w:rsid w:val="00745853"/>
    <w:rsid w:val="00750431"/>
    <w:rsid w:val="00754E7E"/>
    <w:rsid w:val="00756A18"/>
    <w:rsid w:val="007614EF"/>
    <w:rsid w:val="0077520D"/>
    <w:rsid w:val="00776C9A"/>
    <w:rsid w:val="00777884"/>
    <w:rsid w:val="007802BB"/>
    <w:rsid w:val="00781BFC"/>
    <w:rsid w:val="0078229D"/>
    <w:rsid w:val="007855F6"/>
    <w:rsid w:val="00786241"/>
    <w:rsid w:val="00787921"/>
    <w:rsid w:val="00791423"/>
    <w:rsid w:val="007939AE"/>
    <w:rsid w:val="007952D4"/>
    <w:rsid w:val="00797604"/>
    <w:rsid w:val="007A352F"/>
    <w:rsid w:val="007B0159"/>
    <w:rsid w:val="007B4BC5"/>
    <w:rsid w:val="007B74A6"/>
    <w:rsid w:val="007C3111"/>
    <w:rsid w:val="007E456F"/>
    <w:rsid w:val="007E50B1"/>
    <w:rsid w:val="007E6D56"/>
    <w:rsid w:val="007F4001"/>
    <w:rsid w:val="007F55EB"/>
    <w:rsid w:val="007F6278"/>
    <w:rsid w:val="007F632E"/>
    <w:rsid w:val="008029D3"/>
    <w:rsid w:val="00813098"/>
    <w:rsid w:val="00816CD2"/>
    <w:rsid w:val="00847CE8"/>
    <w:rsid w:val="008523C9"/>
    <w:rsid w:val="0086046C"/>
    <w:rsid w:val="00870973"/>
    <w:rsid w:val="00872358"/>
    <w:rsid w:val="0088232B"/>
    <w:rsid w:val="00890E59"/>
    <w:rsid w:val="008918AF"/>
    <w:rsid w:val="008924BF"/>
    <w:rsid w:val="00892CFF"/>
    <w:rsid w:val="008A299F"/>
    <w:rsid w:val="008A3AD5"/>
    <w:rsid w:val="008B697B"/>
    <w:rsid w:val="008C4F91"/>
    <w:rsid w:val="008D35EE"/>
    <w:rsid w:val="008D4440"/>
    <w:rsid w:val="008E048F"/>
    <w:rsid w:val="008E1707"/>
    <w:rsid w:val="008E3942"/>
    <w:rsid w:val="008F7A1E"/>
    <w:rsid w:val="00914DC5"/>
    <w:rsid w:val="00920915"/>
    <w:rsid w:val="009210BC"/>
    <w:rsid w:val="009233E1"/>
    <w:rsid w:val="00924ECB"/>
    <w:rsid w:val="0092634F"/>
    <w:rsid w:val="00932313"/>
    <w:rsid w:val="009352D1"/>
    <w:rsid w:val="00940BCE"/>
    <w:rsid w:val="00952A36"/>
    <w:rsid w:val="009558AE"/>
    <w:rsid w:val="00957E6E"/>
    <w:rsid w:val="0096411F"/>
    <w:rsid w:val="00965841"/>
    <w:rsid w:val="0096625D"/>
    <w:rsid w:val="00971B84"/>
    <w:rsid w:val="009770F2"/>
    <w:rsid w:val="00981726"/>
    <w:rsid w:val="00985384"/>
    <w:rsid w:val="009854A7"/>
    <w:rsid w:val="00985A53"/>
    <w:rsid w:val="009A226D"/>
    <w:rsid w:val="009A5CB7"/>
    <w:rsid w:val="009B0DDF"/>
    <w:rsid w:val="009B7F35"/>
    <w:rsid w:val="009D2CA8"/>
    <w:rsid w:val="009D65B6"/>
    <w:rsid w:val="009E699A"/>
    <w:rsid w:val="009F118B"/>
    <w:rsid w:val="009F2D21"/>
    <w:rsid w:val="00A0197D"/>
    <w:rsid w:val="00A073CB"/>
    <w:rsid w:val="00A0743B"/>
    <w:rsid w:val="00A164E0"/>
    <w:rsid w:val="00A16E6F"/>
    <w:rsid w:val="00A2007D"/>
    <w:rsid w:val="00A233D7"/>
    <w:rsid w:val="00A27EA0"/>
    <w:rsid w:val="00A35142"/>
    <w:rsid w:val="00A413F3"/>
    <w:rsid w:val="00A4344F"/>
    <w:rsid w:val="00A77FA9"/>
    <w:rsid w:val="00A92617"/>
    <w:rsid w:val="00AA020A"/>
    <w:rsid w:val="00AA5DA2"/>
    <w:rsid w:val="00AA684E"/>
    <w:rsid w:val="00AB3252"/>
    <w:rsid w:val="00AB48A8"/>
    <w:rsid w:val="00AC17E1"/>
    <w:rsid w:val="00AE00C8"/>
    <w:rsid w:val="00B02AE3"/>
    <w:rsid w:val="00B136F5"/>
    <w:rsid w:val="00B16C2B"/>
    <w:rsid w:val="00B30489"/>
    <w:rsid w:val="00B343C4"/>
    <w:rsid w:val="00B4148F"/>
    <w:rsid w:val="00B454D0"/>
    <w:rsid w:val="00B6555F"/>
    <w:rsid w:val="00B754E5"/>
    <w:rsid w:val="00B95CDB"/>
    <w:rsid w:val="00BA5EF8"/>
    <w:rsid w:val="00BA7283"/>
    <w:rsid w:val="00BB069D"/>
    <w:rsid w:val="00BB12C7"/>
    <w:rsid w:val="00BD0809"/>
    <w:rsid w:val="00BE0854"/>
    <w:rsid w:val="00BE7CCA"/>
    <w:rsid w:val="00BF0863"/>
    <w:rsid w:val="00BF2A1D"/>
    <w:rsid w:val="00BF447D"/>
    <w:rsid w:val="00BF4E9B"/>
    <w:rsid w:val="00BF7428"/>
    <w:rsid w:val="00BF7AE1"/>
    <w:rsid w:val="00C17508"/>
    <w:rsid w:val="00C264C8"/>
    <w:rsid w:val="00C26A1B"/>
    <w:rsid w:val="00C34A5E"/>
    <w:rsid w:val="00C3555F"/>
    <w:rsid w:val="00C41E6D"/>
    <w:rsid w:val="00C42AD3"/>
    <w:rsid w:val="00C45948"/>
    <w:rsid w:val="00C71F7B"/>
    <w:rsid w:val="00C9503E"/>
    <w:rsid w:val="00CA0084"/>
    <w:rsid w:val="00CA0BF9"/>
    <w:rsid w:val="00CA50BD"/>
    <w:rsid w:val="00CA5F26"/>
    <w:rsid w:val="00CB137F"/>
    <w:rsid w:val="00CB51F4"/>
    <w:rsid w:val="00CB59C8"/>
    <w:rsid w:val="00CC1270"/>
    <w:rsid w:val="00CC314E"/>
    <w:rsid w:val="00CC3768"/>
    <w:rsid w:val="00CC37AF"/>
    <w:rsid w:val="00CD1F5E"/>
    <w:rsid w:val="00CD524A"/>
    <w:rsid w:val="00CF2A11"/>
    <w:rsid w:val="00CF49B9"/>
    <w:rsid w:val="00D047A7"/>
    <w:rsid w:val="00D11E72"/>
    <w:rsid w:val="00D13547"/>
    <w:rsid w:val="00D21565"/>
    <w:rsid w:val="00D309B8"/>
    <w:rsid w:val="00D6187C"/>
    <w:rsid w:val="00D62BB6"/>
    <w:rsid w:val="00D647F8"/>
    <w:rsid w:val="00D75547"/>
    <w:rsid w:val="00D7794E"/>
    <w:rsid w:val="00D82E2E"/>
    <w:rsid w:val="00D84F48"/>
    <w:rsid w:val="00D8590D"/>
    <w:rsid w:val="00D87853"/>
    <w:rsid w:val="00D91814"/>
    <w:rsid w:val="00D9438C"/>
    <w:rsid w:val="00D97196"/>
    <w:rsid w:val="00DA218D"/>
    <w:rsid w:val="00DB3A59"/>
    <w:rsid w:val="00DB3E4A"/>
    <w:rsid w:val="00DB4B5B"/>
    <w:rsid w:val="00DB784A"/>
    <w:rsid w:val="00DD38B0"/>
    <w:rsid w:val="00DD74D2"/>
    <w:rsid w:val="00DE5AE7"/>
    <w:rsid w:val="00E01524"/>
    <w:rsid w:val="00E07DE5"/>
    <w:rsid w:val="00E12D9E"/>
    <w:rsid w:val="00E17D80"/>
    <w:rsid w:val="00E2222E"/>
    <w:rsid w:val="00E23C6C"/>
    <w:rsid w:val="00E273AF"/>
    <w:rsid w:val="00E40931"/>
    <w:rsid w:val="00E55039"/>
    <w:rsid w:val="00E551BA"/>
    <w:rsid w:val="00E73D15"/>
    <w:rsid w:val="00E81403"/>
    <w:rsid w:val="00E909BE"/>
    <w:rsid w:val="00E9379E"/>
    <w:rsid w:val="00E95F3D"/>
    <w:rsid w:val="00EA106B"/>
    <w:rsid w:val="00EA31C5"/>
    <w:rsid w:val="00EB1FBA"/>
    <w:rsid w:val="00EB3A6F"/>
    <w:rsid w:val="00EC3104"/>
    <w:rsid w:val="00EC428A"/>
    <w:rsid w:val="00EC6882"/>
    <w:rsid w:val="00EC769F"/>
    <w:rsid w:val="00ED6277"/>
    <w:rsid w:val="00ED7BA8"/>
    <w:rsid w:val="00EE1318"/>
    <w:rsid w:val="00F05AE8"/>
    <w:rsid w:val="00F063F5"/>
    <w:rsid w:val="00F15ADF"/>
    <w:rsid w:val="00F168E2"/>
    <w:rsid w:val="00F26F9A"/>
    <w:rsid w:val="00F27D42"/>
    <w:rsid w:val="00F32FC3"/>
    <w:rsid w:val="00F4255E"/>
    <w:rsid w:val="00F43D4E"/>
    <w:rsid w:val="00F44858"/>
    <w:rsid w:val="00F5262D"/>
    <w:rsid w:val="00F61170"/>
    <w:rsid w:val="00F676DD"/>
    <w:rsid w:val="00F76EDA"/>
    <w:rsid w:val="00F81282"/>
    <w:rsid w:val="00F90A47"/>
    <w:rsid w:val="00F91C9D"/>
    <w:rsid w:val="00F93864"/>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8"/>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8"/>
    <w:rsid w:val="00745853"/>
    <w:rPr>
      <w:sz w:val="20"/>
      <w:szCs w:val="20"/>
    </w:rPr>
  </w:style>
  <w:style w:type="character" w:styleId="Appelnotedebasdep">
    <w:name w:val="footnote reference"/>
    <w:basedOn w:val="Policepardfaut"/>
    <w:uiPriority w:val="8"/>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9E699A"/>
    <w:pPr>
      <w:spacing w:before="120" w:after="0" w:line="240" w:lineRule="auto"/>
      <w:ind w:left="-284"/>
      <w:jc w:val="both"/>
    </w:pPr>
    <w:rPr>
      <w:rFonts w:ascii="Segoe UI" w:hAnsi="Segoe UI" w:cs="Segoe UI"/>
      <w:b/>
      <w:color w:val="000091" w:themeColor="text1"/>
      <w:szCs w:val="20"/>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9E699A"/>
    <w:rPr>
      <w:rFonts w:ascii="Segoe UI" w:hAnsi="Segoe UI" w:cs="Segoe UI"/>
      <w:b/>
      <w:color w:val="000091" w:themeColor="text1"/>
      <w:szCs w:val="20"/>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qFormat/>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pfouet\Downloads\LKA\Comex%20SL%202015-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fouet\Downloads\LKA\Comex%20SL%202015-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fouet\Downloads\LKA\Comex%20SL%202015-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Feuil1!$F$12</c:f>
              <c:strCache>
                <c:ptCount val="1"/>
                <c:pt idx="0">
                  <c:v>exportations fr</c:v>
                </c:pt>
              </c:strCache>
            </c:strRef>
          </c:tx>
          <c:spPr>
            <a:solidFill>
              <a:schemeClr val="tx1">
                <a:lumMod val="60000"/>
                <a:lumOff val="40000"/>
              </a:schemeClr>
            </a:solidFill>
            <a:ln>
              <a:noFill/>
            </a:ln>
            <a:effectLst/>
          </c:spPr>
          <c:invertIfNegative val="0"/>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Feuil1!$G$12:$P$12</c:f>
              <c:numCache>
                <c:formatCode>#,##0</c:formatCode>
                <c:ptCount val="10"/>
                <c:pt idx="0">
                  <c:v>877.12929599999995</c:v>
                </c:pt>
                <c:pt idx="1">
                  <c:v>90.607962999999998</c:v>
                </c:pt>
                <c:pt idx="2">
                  <c:v>166.95788099999999</c:v>
                </c:pt>
                <c:pt idx="3">
                  <c:v>124.70204099999999</c:v>
                </c:pt>
                <c:pt idx="4">
                  <c:v>115.814837</c:v>
                </c:pt>
                <c:pt idx="5">
                  <c:v>62.723609000000003</c:v>
                </c:pt>
                <c:pt idx="6">
                  <c:v>89.549521999999996</c:v>
                </c:pt>
                <c:pt idx="7">
                  <c:v>81.223399999999998</c:v>
                </c:pt>
                <c:pt idx="8">
                  <c:v>139.67750699999999</c:v>
                </c:pt>
                <c:pt idx="9">
                  <c:v>99.852062000000004</c:v>
                </c:pt>
              </c:numCache>
            </c:numRef>
          </c:val>
          <c:extLst>
            <c:ext xmlns:c16="http://schemas.microsoft.com/office/drawing/2014/chart" uri="{C3380CC4-5D6E-409C-BE32-E72D297353CC}">
              <c16:uniqueId val="{00000000-37D3-496B-A0B7-1743420CABE7}"/>
            </c:ext>
          </c:extLst>
        </c:ser>
        <c:ser>
          <c:idx val="1"/>
          <c:order val="1"/>
          <c:tx>
            <c:strRef>
              <c:f>Feuil1!$F$13</c:f>
              <c:strCache>
                <c:ptCount val="1"/>
                <c:pt idx="0">
                  <c:v>importations fr</c:v>
                </c:pt>
              </c:strCache>
            </c:strRef>
          </c:tx>
          <c:spPr>
            <a:solidFill>
              <a:srgbClr val="FFC000"/>
            </a:solidFill>
            <a:ln>
              <a:noFill/>
            </a:ln>
            <a:effectLst/>
          </c:spPr>
          <c:invertIfNegative val="0"/>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Feuil1!$G$13:$P$13</c:f>
              <c:numCache>
                <c:formatCode>#,##0</c:formatCode>
                <c:ptCount val="10"/>
                <c:pt idx="0">
                  <c:v>298.34403800000001</c:v>
                </c:pt>
                <c:pt idx="1">
                  <c:v>286.48697900000002</c:v>
                </c:pt>
                <c:pt idx="2">
                  <c:v>322.86300799999998</c:v>
                </c:pt>
                <c:pt idx="3">
                  <c:v>335.29483299999998</c:v>
                </c:pt>
                <c:pt idx="4">
                  <c:v>333.72361999999998</c:v>
                </c:pt>
                <c:pt idx="5">
                  <c:v>304.05575800000003</c:v>
                </c:pt>
                <c:pt idx="6">
                  <c:v>399.26966499999997</c:v>
                </c:pt>
                <c:pt idx="7">
                  <c:v>516.51004699999999</c:v>
                </c:pt>
                <c:pt idx="8">
                  <c:v>455.04026399999998</c:v>
                </c:pt>
                <c:pt idx="9">
                  <c:v>437.909651</c:v>
                </c:pt>
              </c:numCache>
            </c:numRef>
          </c:val>
          <c:extLst>
            <c:ext xmlns:c16="http://schemas.microsoft.com/office/drawing/2014/chart" uri="{C3380CC4-5D6E-409C-BE32-E72D297353CC}">
              <c16:uniqueId val="{00000001-37D3-496B-A0B7-1743420CABE7}"/>
            </c:ext>
          </c:extLst>
        </c:ser>
        <c:dLbls>
          <c:showLegendKey val="0"/>
          <c:showVal val="0"/>
          <c:showCatName val="0"/>
          <c:showSerName val="0"/>
          <c:showPercent val="0"/>
          <c:showBubbleSize val="0"/>
        </c:dLbls>
        <c:gapWidth val="219"/>
        <c:overlap val="-27"/>
        <c:axId val="1812502832"/>
        <c:axId val="1812498672"/>
      </c:barChart>
      <c:lineChart>
        <c:grouping val="standard"/>
        <c:varyColors val="0"/>
        <c:ser>
          <c:idx val="2"/>
          <c:order val="2"/>
          <c:tx>
            <c:strRef>
              <c:f>Feuil1!$F$14</c:f>
              <c:strCache>
                <c:ptCount val="1"/>
                <c:pt idx="0">
                  <c:v>solde</c:v>
                </c:pt>
              </c:strCache>
            </c:strRef>
          </c:tx>
          <c:spPr>
            <a:ln w="28575" cap="rnd">
              <a:solidFill>
                <a:schemeClr val="accent3"/>
              </a:solidFill>
              <a:round/>
            </a:ln>
            <a:effectLst/>
          </c:spPr>
          <c:marker>
            <c:symbol val="none"/>
          </c:marker>
          <c:cat>
            <c:numRef>
              <c:f>Feuil1!$G$11:$P$11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Feuil1!$G$14:$P$14</c:f>
              <c:numCache>
                <c:formatCode>#,##0</c:formatCode>
                <c:ptCount val="10"/>
                <c:pt idx="0">
                  <c:v>578.78525799999989</c:v>
                </c:pt>
                <c:pt idx="1">
                  <c:v>-195.87901600000004</c:v>
                </c:pt>
                <c:pt idx="2">
                  <c:v>-155.90512699999999</c:v>
                </c:pt>
                <c:pt idx="3">
                  <c:v>-210.59279199999997</c:v>
                </c:pt>
                <c:pt idx="4">
                  <c:v>-217.90878299999997</c:v>
                </c:pt>
                <c:pt idx="5">
                  <c:v>-241.33214900000002</c:v>
                </c:pt>
                <c:pt idx="6">
                  <c:v>-309.72014300000001</c:v>
                </c:pt>
                <c:pt idx="7">
                  <c:v>-435.28664700000002</c:v>
                </c:pt>
                <c:pt idx="8">
                  <c:v>-315.36275699999999</c:v>
                </c:pt>
                <c:pt idx="9">
                  <c:v>-338.05758900000001</c:v>
                </c:pt>
              </c:numCache>
            </c:numRef>
          </c:val>
          <c:smooth val="0"/>
          <c:extLst>
            <c:ext xmlns:c16="http://schemas.microsoft.com/office/drawing/2014/chart" uri="{C3380CC4-5D6E-409C-BE32-E72D297353CC}">
              <c16:uniqueId val="{00000002-37D3-496B-A0B7-1743420CABE7}"/>
            </c:ext>
          </c:extLst>
        </c:ser>
        <c:dLbls>
          <c:showLegendKey val="0"/>
          <c:showVal val="0"/>
          <c:showCatName val="0"/>
          <c:showSerName val="0"/>
          <c:showPercent val="0"/>
          <c:showBubbleSize val="0"/>
        </c:dLbls>
        <c:marker val="1"/>
        <c:smooth val="0"/>
        <c:axId val="1812502832"/>
        <c:axId val="1812498672"/>
      </c:lineChart>
      <c:catAx>
        <c:axId val="181250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498672"/>
        <c:crosses val="autoZero"/>
        <c:auto val="1"/>
        <c:lblAlgn val="ctr"/>
        <c:lblOffset val="100"/>
        <c:noMultiLvlLbl val="0"/>
      </c:catAx>
      <c:valAx>
        <c:axId val="1812498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50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600193997489444"/>
          <c:y val="3.2407407407407406E-2"/>
          <c:w val="0.48027216706607329"/>
          <c:h val="0.87871172353455818"/>
        </c:manualLayout>
      </c:layout>
      <c:barChart>
        <c:barDir val="bar"/>
        <c:grouping val="clustered"/>
        <c:varyColors val="0"/>
        <c:ser>
          <c:idx val="0"/>
          <c:order val="0"/>
          <c:tx>
            <c:strRef>
              <c:f>Feuil1!$F$54</c:f>
              <c:strCache>
                <c:ptCount val="1"/>
                <c:pt idx="0">
                  <c:v>Exportations FAB</c:v>
                </c:pt>
              </c:strCache>
            </c:strRef>
          </c:tx>
          <c:spPr>
            <a:solidFill>
              <a:schemeClr val="accent2"/>
            </a:solidFill>
            <a:ln>
              <a:noFill/>
            </a:ln>
            <a:effectLst/>
          </c:spPr>
          <c:invertIfNegative val="0"/>
          <c:dLbls>
            <c:delete val="1"/>
          </c:dLbls>
          <c:cat>
            <c:strRef>
              <c:f>Feuil1!$E$55:$E$68</c:f>
              <c:strCache>
                <c:ptCount val="14"/>
                <c:pt idx="0">
                  <c:v>Produits divers</c:v>
                </c:pt>
                <c:pt idx="1">
                  <c:v>Produits pétroliers raffinés et coke</c:v>
                </c:pt>
                <c:pt idx="2">
                  <c:v>Hydrocarbures, autres prod. ind. Extractives</c:v>
                </c:pt>
                <c:pt idx="3">
                  <c:v>Prod. agricoles, sylvicoles, pêche et aquaculture</c:v>
                </c:pt>
                <c:pt idx="4">
                  <c:v>Bois, papier et carton</c:v>
                </c:pt>
                <c:pt idx="5">
                  <c:v>Produits en caoutchouc et plastique</c:v>
                </c:pt>
                <c:pt idx="6">
                  <c:v>Produits métallurgiques et métalliques</c:v>
                </c:pt>
                <c:pt idx="7">
                  <c:v>Textiles, habillement, cuir et chaussures</c:v>
                </c:pt>
                <c:pt idx="8">
                  <c:v>Produits manufacturés divers</c:v>
                </c:pt>
                <c:pt idx="9">
                  <c:v>Produits des industries agroalimentaires</c:v>
                </c:pt>
                <c:pt idx="10">
                  <c:v>Produits pharmaceutiques</c:v>
                </c:pt>
                <c:pt idx="11">
                  <c:v>Produits chimiques, parfums et cosmétiques</c:v>
                </c:pt>
                <c:pt idx="12">
                  <c:v>Equipements méca, mat. électrique, électronique</c:v>
                </c:pt>
                <c:pt idx="13">
                  <c:v>Matériels de transport</c:v>
                </c:pt>
              </c:strCache>
            </c:strRef>
          </c:cat>
          <c:val>
            <c:numRef>
              <c:f>Feuil1!$F$55:$F$68</c:f>
              <c:numCache>
                <c:formatCode>0.0</c:formatCode>
                <c:ptCount val="14"/>
                <c:pt idx="0">
                  <c:v>4.0853E-2</c:v>
                </c:pt>
                <c:pt idx="1">
                  <c:v>6.2923999999999994E-2</c:v>
                </c:pt>
                <c:pt idx="2">
                  <c:v>0.106123</c:v>
                </c:pt>
                <c:pt idx="3">
                  <c:v>1.0292330000000001</c:v>
                </c:pt>
                <c:pt idx="4">
                  <c:v>1.27613</c:v>
                </c:pt>
                <c:pt idx="5">
                  <c:v>1.9031579999999999</c:v>
                </c:pt>
                <c:pt idx="6">
                  <c:v>2.4907189999999999</c:v>
                </c:pt>
                <c:pt idx="7">
                  <c:v>3.7521499999999999</c:v>
                </c:pt>
                <c:pt idx="8">
                  <c:v>5.9500970000000004</c:v>
                </c:pt>
                <c:pt idx="9">
                  <c:v>10.316424</c:v>
                </c:pt>
                <c:pt idx="10">
                  <c:v>11.226065999999999</c:v>
                </c:pt>
                <c:pt idx="11">
                  <c:v>14.227116000000001</c:v>
                </c:pt>
                <c:pt idx="12">
                  <c:v>17.144079000000001</c:v>
                </c:pt>
                <c:pt idx="13">
                  <c:v>30.326989999999999</c:v>
                </c:pt>
              </c:numCache>
            </c:numRef>
          </c:val>
          <c:extLst>
            <c:ext xmlns:c16="http://schemas.microsoft.com/office/drawing/2014/chart" uri="{C3380CC4-5D6E-409C-BE32-E72D297353CC}">
              <c16:uniqueId val="{00000000-B133-4A22-8E94-CAFE2110A0E5}"/>
            </c:ext>
          </c:extLst>
        </c:ser>
        <c:ser>
          <c:idx val="1"/>
          <c:order val="1"/>
          <c:tx>
            <c:strRef>
              <c:f>Feuil1!$G$54</c:f>
              <c:strCache>
                <c:ptCount val="1"/>
                <c:pt idx="0">
                  <c:v>Part du total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Feuil1!$E$55:$E$68</c:f>
              <c:strCache>
                <c:ptCount val="14"/>
                <c:pt idx="0">
                  <c:v>Produits divers</c:v>
                </c:pt>
                <c:pt idx="1">
                  <c:v>Produits pétroliers raffinés et coke</c:v>
                </c:pt>
                <c:pt idx="2">
                  <c:v>Hydrocarbures, autres prod. ind. Extractives</c:v>
                </c:pt>
                <c:pt idx="3">
                  <c:v>Prod. agricoles, sylvicoles, pêche et aquaculture</c:v>
                </c:pt>
                <c:pt idx="4">
                  <c:v>Bois, papier et carton</c:v>
                </c:pt>
                <c:pt idx="5">
                  <c:v>Produits en caoutchouc et plastique</c:v>
                </c:pt>
                <c:pt idx="6">
                  <c:v>Produits métallurgiques et métalliques</c:v>
                </c:pt>
                <c:pt idx="7">
                  <c:v>Textiles, habillement, cuir et chaussures</c:v>
                </c:pt>
                <c:pt idx="8">
                  <c:v>Produits manufacturés divers</c:v>
                </c:pt>
                <c:pt idx="9">
                  <c:v>Produits des industries agroalimentaires</c:v>
                </c:pt>
                <c:pt idx="10">
                  <c:v>Produits pharmaceutiques</c:v>
                </c:pt>
                <c:pt idx="11">
                  <c:v>Produits chimiques, parfums et cosmétiques</c:v>
                </c:pt>
                <c:pt idx="12">
                  <c:v>Equipements méca, mat. électrique, électronique</c:v>
                </c:pt>
                <c:pt idx="13">
                  <c:v>Matériels de transport</c:v>
                </c:pt>
              </c:strCache>
            </c:strRef>
          </c:cat>
          <c:val>
            <c:numRef>
              <c:f>Feuil1!$G$55:$G$68</c:f>
              <c:numCache>
                <c:formatCode>0.00%</c:formatCode>
                <c:ptCount val="14"/>
                <c:pt idx="0">
                  <c:v>4.0913526653060003E-4</c:v>
                </c:pt>
                <c:pt idx="1">
                  <c:v>6.3017226424427763E-4</c:v>
                </c:pt>
                <c:pt idx="2">
                  <c:v>1.0628022884494864E-3</c:v>
                </c:pt>
                <c:pt idx="3">
                  <c:v>1.0307578825963554E-2</c:v>
                </c:pt>
                <c:pt idx="4">
                  <c:v>1.2780206782309612E-2</c:v>
                </c:pt>
                <c:pt idx="5">
                  <c:v>1.9059776652384001E-2</c:v>
                </c:pt>
                <c:pt idx="6">
                  <c:v>2.4944091790513049E-2</c:v>
                </c:pt>
                <c:pt idx="7">
                  <c:v>3.7577090796582648E-2</c:v>
                </c:pt>
                <c:pt idx="8">
                  <c:v>5.9589124959682854E-2</c:v>
                </c:pt>
                <c:pt idx="9">
                  <c:v>0.10331708522954688</c:v>
                </c:pt>
                <c:pt idx="10">
                  <c:v>0.11242698222896988</c:v>
                </c:pt>
                <c:pt idx="11">
                  <c:v>0.1424819449397049</c:v>
                </c:pt>
                <c:pt idx="12">
                  <c:v>0.17169479184115397</c:v>
                </c:pt>
                <c:pt idx="13">
                  <c:v>0.30371921613396424</c:v>
                </c:pt>
              </c:numCache>
            </c:numRef>
          </c:val>
          <c:extLst>
            <c:ext xmlns:c16="http://schemas.microsoft.com/office/drawing/2014/chart" uri="{C3380CC4-5D6E-409C-BE32-E72D297353CC}">
              <c16:uniqueId val="{00000001-B133-4A22-8E94-CAFE2110A0E5}"/>
            </c:ext>
          </c:extLst>
        </c:ser>
        <c:dLbls>
          <c:dLblPos val="inEnd"/>
          <c:showLegendKey val="0"/>
          <c:showVal val="1"/>
          <c:showCatName val="0"/>
          <c:showSerName val="0"/>
          <c:showPercent val="0"/>
          <c:showBubbleSize val="0"/>
        </c:dLbls>
        <c:gapWidth val="182"/>
        <c:axId val="1814538064"/>
        <c:axId val="1814542224"/>
      </c:barChart>
      <c:catAx>
        <c:axId val="181453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80808"/>
                </a:solidFill>
                <a:latin typeface="+mn-lt"/>
                <a:ea typeface="+mn-ea"/>
                <a:cs typeface="+mn-cs"/>
              </a:defRPr>
            </a:pPr>
            <a:endParaRPr lang="fr-FR"/>
          </a:p>
        </c:txPr>
        <c:crossAx val="1814542224"/>
        <c:crosses val="autoZero"/>
        <c:auto val="1"/>
        <c:lblAlgn val="ctr"/>
        <c:lblOffset val="100"/>
        <c:noMultiLvlLbl val="0"/>
      </c:catAx>
      <c:valAx>
        <c:axId val="181454222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4538064"/>
        <c:crosses val="autoZero"/>
        <c:crossBetween val="between"/>
      </c:valAx>
      <c:spPr>
        <a:solidFill>
          <a:schemeClr val="tx2">
            <a:lumMod val="60000"/>
            <a:lumOff val="40000"/>
          </a:schemeClr>
        </a:solidFill>
        <a:ln>
          <a:solidFill>
            <a:schemeClr val="accent1">
              <a:lumMod val="40000"/>
              <a:lumOff val="6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012335958005252"/>
          <c:y val="4.6296296296296294E-2"/>
          <c:w val="0.49475853018372701"/>
          <c:h val="0.84630431612715074"/>
        </c:manualLayout>
      </c:layout>
      <c:barChart>
        <c:barDir val="bar"/>
        <c:grouping val="clustered"/>
        <c:varyColors val="0"/>
        <c:ser>
          <c:idx val="0"/>
          <c:order val="0"/>
          <c:tx>
            <c:strRef>
              <c:f>Feuil1!$F$72</c:f>
              <c:strCache>
                <c:ptCount val="1"/>
                <c:pt idx="0">
                  <c:v>Importations CAF</c:v>
                </c:pt>
              </c:strCache>
            </c:strRef>
          </c:tx>
          <c:spPr>
            <a:solidFill>
              <a:schemeClr val="accent2"/>
            </a:solidFill>
            <a:ln>
              <a:noFill/>
            </a:ln>
            <a:effectLst/>
          </c:spPr>
          <c:invertIfNegative val="0"/>
          <c:dPt>
            <c:idx val="13"/>
            <c:invertIfNegative val="0"/>
            <c:bubble3D val="0"/>
            <c:spPr>
              <a:solidFill>
                <a:schemeClr val="accent2"/>
              </a:solidFill>
              <a:ln>
                <a:noFill/>
              </a:ln>
              <a:effectLst/>
            </c:spPr>
            <c:extLst>
              <c:ext xmlns:c16="http://schemas.microsoft.com/office/drawing/2014/chart" uri="{C3380CC4-5D6E-409C-BE32-E72D297353CC}">
                <c16:uniqueId val="{00000001-E1A5-4C30-8010-FD11AE51B55A}"/>
              </c:ext>
            </c:extLst>
          </c:dPt>
          <c:dLbls>
            <c:delete val="1"/>
          </c:dLbls>
          <c:cat>
            <c:strRef>
              <c:f>Feuil1!$E$73:$E$86</c:f>
              <c:strCache>
                <c:ptCount val="14"/>
                <c:pt idx="0">
                  <c:v>Produits pharmaceutiques</c:v>
                </c:pt>
                <c:pt idx="1">
                  <c:v>Produits pétroliers raffinés et coke</c:v>
                </c:pt>
                <c:pt idx="2">
                  <c:v>Produits divers</c:v>
                </c:pt>
                <c:pt idx="3">
                  <c:v>Hydrocarbures, autres prod. ind. Extractives</c:v>
                </c:pt>
                <c:pt idx="4">
                  <c:v>Produits métallurgiques et métalliques</c:v>
                </c:pt>
                <c:pt idx="5">
                  <c:v>Bois, papier et carton</c:v>
                </c:pt>
                <c:pt idx="6">
                  <c:v>Matériels de transport</c:v>
                </c:pt>
                <c:pt idx="7">
                  <c:v>Produits chimiques, parfums et cosmétiques</c:v>
                </c:pt>
                <c:pt idx="8">
                  <c:v>Equipements méca, mat. électrique, électronique</c:v>
                </c:pt>
                <c:pt idx="9">
                  <c:v>Prod. agricoles, sylvicoles, pêche et aquaculture</c:v>
                </c:pt>
                <c:pt idx="10">
                  <c:v>Produits en caoutchouc et plastique</c:v>
                </c:pt>
                <c:pt idx="11">
                  <c:v>Produits des industries agroalimentaires</c:v>
                </c:pt>
                <c:pt idx="12">
                  <c:v>Produits manufacturés divers</c:v>
                </c:pt>
                <c:pt idx="13">
                  <c:v>Textiles, habillement, cuir et chaussures</c:v>
                </c:pt>
              </c:strCache>
            </c:strRef>
          </c:cat>
          <c:val>
            <c:numRef>
              <c:f>Feuil1!$F$73:$F$86</c:f>
              <c:numCache>
                <c:formatCode>0.0</c:formatCode>
                <c:ptCount val="14"/>
                <c:pt idx="0">
                  <c:v>2.6440000000000001E-3</c:v>
                </c:pt>
                <c:pt idx="1">
                  <c:v>6.476E-3</c:v>
                </c:pt>
                <c:pt idx="2">
                  <c:v>7.1374000000000007E-2</c:v>
                </c:pt>
                <c:pt idx="3">
                  <c:v>7.2062000000000001E-2</c:v>
                </c:pt>
                <c:pt idx="4">
                  <c:v>0.32829700000000001</c:v>
                </c:pt>
                <c:pt idx="5">
                  <c:v>0.64237699999999998</c:v>
                </c:pt>
                <c:pt idx="6">
                  <c:v>5.4492070000000004</c:v>
                </c:pt>
                <c:pt idx="7">
                  <c:v>5.7587149999999996</c:v>
                </c:pt>
                <c:pt idx="8">
                  <c:v>24.430910999999998</c:v>
                </c:pt>
                <c:pt idx="9">
                  <c:v>27.100964999999999</c:v>
                </c:pt>
                <c:pt idx="10">
                  <c:v>39.756757</c:v>
                </c:pt>
                <c:pt idx="11">
                  <c:v>40.683962000000001</c:v>
                </c:pt>
                <c:pt idx="12">
                  <c:v>45.194294999999997</c:v>
                </c:pt>
                <c:pt idx="13">
                  <c:v>248.411609</c:v>
                </c:pt>
              </c:numCache>
            </c:numRef>
          </c:val>
          <c:extLst>
            <c:ext xmlns:c16="http://schemas.microsoft.com/office/drawing/2014/chart" uri="{C3380CC4-5D6E-409C-BE32-E72D297353CC}">
              <c16:uniqueId val="{00000002-E1A5-4C30-8010-FD11AE51B55A}"/>
            </c:ext>
          </c:extLst>
        </c:ser>
        <c:ser>
          <c:idx val="1"/>
          <c:order val="1"/>
          <c:tx>
            <c:strRef>
              <c:f>Feuil1!$G$72</c:f>
              <c:strCache>
                <c:ptCount val="1"/>
                <c:pt idx="0">
                  <c:v>Part de total</c:v>
                </c:pt>
              </c:strCache>
            </c:strRef>
          </c:tx>
          <c:spPr>
            <a:solidFill>
              <a:schemeClr val="accent2"/>
            </a:solidFill>
            <a:ln>
              <a:noFill/>
            </a:ln>
            <a:effectLst/>
          </c:spPr>
          <c:invertIfNegative val="0"/>
          <c:dLbls>
            <c:dLbl>
              <c:idx val="12"/>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fr-FR"/>
                </a:p>
              </c:txPr>
              <c:dLblPos val="outEnd"/>
              <c:showLegendKey val="0"/>
              <c:showVal val="1"/>
              <c:showCatName val="0"/>
              <c:showSerName val="0"/>
              <c:showPercent val="0"/>
              <c:showBubbleSize val="0"/>
              <c:extLst>
                <c:ext xmlns:c15="http://schemas.microsoft.com/office/drawing/2012/chart" uri="{CE6537A1-D6FC-4f65-9D91-7224C49458BB}">
                  <c15:layout>
                    <c:manualLayout>
                      <c:w val="8.3007518796992474E-2"/>
                      <c:h val="2.8500187476565422E-2"/>
                    </c:manualLayout>
                  </c15:layout>
                </c:ext>
                <c:ext xmlns:c16="http://schemas.microsoft.com/office/drawing/2014/chart" uri="{C3380CC4-5D6E-409C-BE32-E72D297353CC}">
                  <c16:uniqueId val="{00000003-E1A5-4C30-8010-FD11AE51B55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fr-F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Feuil1!$E$73:$E$86</c:f>
              <c:strCache>
                <c:ptCount val="14"/>
                <c:pt idx="0">
                  <c:v>Produits pharmaceutiques</c:v>
                </c:pt>
                <c:pt idx="1">
                  <c:v>Produits pétroliers raffinés et coke</c:v>
                </c:pt>
                <c:pt idx="2">
                  <c:v>Produits divers</c:v>
                </c:pt>
                <c:pt idx="3">
                  <c:v>Hydrocarbures, autres prod. ind. Extractives</c:v>
                </c:pt>
                <c:pt idx="4">
                  <c:v>Produits métallurgiques et métalliques</c:v>
                </c:pt>
                <c:pt idx="5">
                  <c:v>Bois, papier et carton</c:v>
                </c:pt>
                <c:pt idx="6">
                  <c:v>Matériels de transport</c:v>
                </c:pt>
                <c:pt idx="7">
                  <c:v>Produits chimiques, parfums et cosmétiques</c:v>
                </c:pt>
                <c:pt idx="8">
                  <c:v>Equipements méca, mat. électrique, électronique</c:v>
                </c:pt>
                <c:pt idx="9">
                  <c:v>Prod. agricoles, sylvicoles, pêche et aquaculture</c:v>
                </c:pt>
                <c:pt idx="10">
                  <c:v>Produits en caoutchouc et plastique</c:v>
                </c:pt>
                <c:pt idx="11">
                  <c:v>Produits des industries agroalimentaires</c:v>
                </c:pt>
                <c:pt idx="12">
                  <c:v>Produits manufacturés divers</c:v>
                </c:pt>
                <c:pt idx="13">
                  <c:v>Textiles, habillement, cuir et chaussures</c:v>
                </c:pt>
              </c:strCache>
            </c:strRef>
          </c:cat>
          <c:val>
            <c:numRef>
              <c:f>Feuil1!$G$73:$G$86</c:f>
              <c:numCache>
                <c:formatCode>0.00%</c:formatCode>
                <c:ptCount val="14"/>
                <c:pt idx="0">
                  <c:v>6.0377751300119214E-6</c:v>
                </c:pt>
                <c:pt idx="1">
                  <c:v>1.4788438631602573E-5</c:v>
                </c:pt>
                <c:pt idx="2">
                  <c:v>1.6298795844533695E-4</c:v>
                </c:pt>
                <c:pt idx="3">
                  <c:v>1.6455905878173943E-4</c:v>
                </c:pt>
                <c:pt idx="4">
                  <c:v>7.4969117316850365E-4</c:v>
                </c:pt>
                <c:pt idx="5">
                  <c:v>1.4669167453448062E-3</c:v>
                </c:pt>
                <c:pt idx="6">
                  <c:v>1.2443678707597152E-2</c:v>
                </c:pt>
                <c:pt idx="7">
                  <c:v>1.3150463769979803E-2</c:v>
                </c:pt>
                <c:pt idx="8">
                  <c:v>5.5789843736510844E-2</c:v>
                </c:pt>
                <c:pt idx="9">
                  <c:v>6.1887115157459725E-2</c:v>
                </c:pt>
                <c:pt idx="10">
                  <c:v>9.0787578920017917E-2</c:v>
                </c:pt>
                <c:pt idx="11">
                  <c:v>9.2904922070329077E-2</c:v>
                </c:pt>
                <c:pt idx="12">
                  <c:v>0.10320461057845011</c:v>
                </c:pt>
                <c:pt idx="13">
                  <c:v>0.56726680591015333</c:v>
                </c:pt>
              </c:numCache>
            </c:numRef>
          </c:val>
          <c:extLst>
            <c:ext xmlns:c16="http://schemas.microsoft.com/office/drawing/2014/chart" uri="{C3380CC4-5D6E-409C-BE32-E72D297353CC}">
              <c16:uniqueId val="{00000004-E1A5-4C30-8010-FD11AE51B55A}"/>
            </c:ext>
          </c:extLst>
        </c:ser>
        <c:dLbls>
          <c:dLblPos val="inEnd"/>
          <c:showLegendKey val="0"/>
          <c:showVal val="1"/>
          <c:showCatName val="0"/>
          <c:showSerName val="0"/>
          <c:showPercent val="0"/>
          <c:showBubbleSize val="0"/>
        </c:dLbls>
        <c:gapWidth val="182"/>
        <c:axId val="1812516144"/>
        <c:axId val="1812513232"/>
      </c:barChart>
      <c:catAx>
        <c:axId val="1812516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1812513232"/>
        <c:crosses val="autoZero"/>
        <c:auto val="1"/>
        <c:lblAlgn val="ctr"/>
        <c:lblOffset val="100"/>
        <c:noMultiLvlLbl val="0"/>
      </c:catAx>
      <c:valAx>
        <c:axId val="18125132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12516144"/>
        <c:crosses val="autoZero"/>
        <c:crossBetween val="between"/>
      </c:valAx>
      <c:spPr>
        <a:solidFill>
          <a:schemeClr val="tx2">
            <a:lumMod val="60000"/>
            <a:lumOff val="40000"/>
          </a:schemeClr>
        </a:solidFill>
        <a:ln>
          <a:solidFill>
            <a:schemeClr val="tx2">
              <a:lumMod val="40000"/>
              <a:lumOff val="60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Personnalisé 1">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591F387-A7B2-412E-9121-881A526755F4}">
  <ds:schemaRefs>
    <ds:schemaRef ds:uri="http://schemas.microsoft.com/sharepoint/v3/contenttype/forms"/>
  </ds:schemaRefs>
</ds:datastoreItem>
</file>

<file path=customXml/itemProps3.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4.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FOUET Philippe</cp:lastModifiedBy>
  <cp:revision>8</cp:revision>
  <dcterms:created xsi:type="dcterms:W3CDTF">2025-04-15T11:34:00Z</dcterms:created>
  <dcterms:modified xsi:type="dcterms:W3CDTF">2025-04-15T12:39:00Z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