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FACFA87" w14:textId="77777777" w:rsidR="004B59AD" w:rsidRDefault="00190FFF"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658240" behindDoc="1" locked="0" layoutInCell="1" allowOverlap="1" wp14:anchorId="3AB85CE0" wp14:editId="4DCFCD79">
            <wp:simplePos x="0" y="0"/>
            <wp:positionH relativeFrom="page">
              <wp:posOffset>-162046</wp:posOffset>
            </wp:positionH>
            <wp:positionV relativeFrom="paragraph">
              <wp:posOffset>-28937</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1">
                      <a:extLst>
                        <a:ext uri="{28A0092B-C50C-407E-A947-70E740481C1C}">
                          <a14:useLocalDpi xmlns:a14="http://schemas.microsoft.com/office/drawing/2010/main" val="0"/>
                        </a:ext>
                      </a:extLst>
                    </a:blip>
                    <a:srcRect l="-1556" t="594" r="-1906" b="1692"/>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59AD">
        <w:rPr>
          <w:rFonts w:ascii="Marianne Medium" w:hAnsi="Marianne Medium"/>
          <w:bCs/>
          <w:noProof/>
          <w:sz w:val="20"/>
          <w:szCs w:val="18"/>
        </w:rPr>
        <mc:AlternateContent>
          <mc:Choice Requires="wps">
            <w:drawing>
              <wp:anchor distT="0" distB="0" distL="114300" distR="114300" simplePos="0" relativeHeight="251658241" behindDoc="0" locked="0" layoutInCell="1" allowOverlap="1" wp14:anchorId="380A7B77" wp14:editId="052F5C46">
                <wp:simplePos x="0" y="0"/>
                <wp:positionH relativeFrom="column">
                  <wp:posOffset>-619125</wp:posOffset>
                </wp:positionH>
                <wp:positionV relativeFrom="paragraph">
                  <wp:posOffset>132080</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489C6" id="Rectangle 9" o:spid="_x0000_s1026" style="position:absolute;margin-left:-48.75pt;margin-top:10.4pt;width:114.55pt;height:68.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" fillcolor="white [3212]" stroked="f" strokeweight="1pt"/>
            </w:pict>
          </mc:Fallback>
        </mc:AlternateContent>
      </w:r>
      <w:r w:rsidR="004B59AD" w:rsidRPr="008516DA">
        <w:rPr>
          <w:rFonts w:ascii="Marianne Medium" w:hAnsi="Marianne Medium"/>
          <w:bCs/>
          <w:noProof/>
          <w:sz w:val="20"/>
          <w:szCs w:val="18"/>
        </w:rPr>
        <w:drawing>
          <wp:anchor distT="0" distB="0" distL="114300" distR="114300" simplePos="0" relativeHeight="251658242" behindDoc="0" locked="0" layoutInCell="1" allowOverlap="1" wp14:anchorId="04F3AD52" wp14:editId="134CC5A2">
            <wp:simplePos x="0" y="0"/>
            <wp:positionH relativeFrom="page">
              <wp:posOffset>369570</wp:posOffset>
            </wp:positionH>
            <wp:positionV relativeFrom="margin">
              <wp:posOffset>230505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7932B7">
        <w:rPr>
          <w:rFonts w:ascii="Marianne Medium" w:hAnsi="Marianne Medium"/>
          <w:bCs/>
          <w:sz w:val="20"/>
          <w:szCs w:val="20"/>
        </w:rPr>
        <w:t xml:space="preserve">                                </w:t>
      </w:r>
    </w:p>
    <w:p w14:paraId="3A13F5B8" w14:textId="77777777" w:rsidR="004B59AD" w:rsidRDefault="004B59AD" w:rsidP="004B59AD">
      <w:pPr>
        <w:spacing w:before="120" w:after="0" w:line="240" w:lineRule="auto"/>
        <w:rPr>
          <w:rFonts w:ascii="Marianne Medium" w:hAnsi="Marianne Medium"/>
          <w:bCs/>
          <w:sz w:val="20"/>
          <w:szCs w:val="20"/>
        </w:rPr>
      </w:pPr>
    </w:p>
    <w:p w14:paraId="2AC6642B" w14:textId="77777777" w:rsidR="009D65B6" w:rsidRDefault="004B59AD" w:rsidP="004B59AD">
      <w:pPr>
        <w:spacing w:before="120" w:after="0" w:line="240" w:lineRule="auto"/>
        <w:rPr>
          <w:rFonts w:ascii="Marianne Medium" w:hAnsi="Marianne Medium"/>
          <w:bCs/>
          <w:sz w:val="18"/>
          <w:szCs w:val="18"/>
        </w:rPr>
      </w:pPr>
      <w:r>
        <w:rPr>
          <w:rFonts w:ascii="Marianne Medium" w:hAnsi="Marianne Medium"/>
          <w:bCs/>
          <w:sz w:val="20"/>
          <w:szCs w:val="20"/>
        </w:rPr>
        <w:t xml:space="preserve">                             </w: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17FD94AC"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763D5629" w14:textId="77777777" w:rsidR="007932B7" w:rsidRDefault="007932B7" w:rsidP="00A65C3A">
      <w:pPr>
        <w:spacing w:before="120" w:after="0"/>
        <w:jc w:val="center"/>
        <w:rPr>
          <w:rFonts w:ascii="Marianne Medium" w:hAnsi="Marianne Medium"/>
          <w:bCs/>
          <w:sz w:val="18"/>
          <w:szCs w:val="18"/>
        </w:rPr>
      </w:pPr>
    </w:p>
    <w:p w14:paraId="2A1F4E45" w14:textId="77777777" w:rsidR="007932B7" w:rsidRDefault="007932B7" w:rsidP="007932B7">
      <w:pPr>
        <w:spacing w:before="120" w:after="0"/>
        <w:rPr>
          <w:rFonts w:ascii="Marianne Medium" w:hAnsi="Marianne Medium"/>
          <w:bCs/>
          <w:sz w:val="18"/>
          <w:szCs w:val="18"/>
        </w:rPr>
      </w:pPr>
    </w:p>
    <w:p w14:paraId="0E0A6BC9" w14:textId="15C29EAF" w:rsidR="001A0A3C" w:rsidRDefault="009D0F73" w:rsidP="001A0A3C">
      <w:pPr>
        <w:pStyle w:val="Textecourant"/>
        <w:spacing w:after="0" w:line="216" w:lineRule="auto"/>
        <w:ind w:right="-993" w:hanging="993"/>
        <w:jc w:val="both"/>
        <w:rPr>
          <w:color w:val="000091" w:themeColor="text1"/>
          <w:sz w:val="48"/>
          <w:szCs w:val="48"/>
        </w:rPr>
      </w:pPr>
      <w:r>
        <w:rPr>
          <w:color w:val="000091" w:themeColor="text1"/>
          <w:sz w:val="48"/>
          <w:szCs w:val="48"/>
        </w:rPr>
        <w:t>VEILLE</w:t>
      </w:r>
      <w:r w:rsidR="007A1134" w:rsidRPr="007A1134">
        <w:rPr>
          <w:color w:val="000091" w:themeColor="text1"/>
          <w:sz w:val="48"/>
          <w:szCs w:val="48"/>
        </w:rPr>
        <w:t xml:space="preserve"> </w:t>
      </w:r>
      <w:r w:rsidR="00BF476D">
        <w:rPr>
          <w:color w:val="000091" w:themeColor="text1"/>
          <w:sz w:val="48"/>
          <w:szCs w:val="48"/>
        </w:rPr>
        <w:t>SECTORIELLE</w:t>
      </w:r>
      <w:r w:rsidR="007A1134">
        <w:rPr>
          <w:color w:val="000091" w:themeColor="text1"/>
          <w:sz w:val="48"/>
          <w:szCs w:val="48"/>
        </w:rPr>
        <w:t xml:space="preserve">                     </w:t>
      </w:r>
    </w:p>
    <w:p w14:paraId="40D5B2C5" w14:textId="75DDE550" w:rsidR="004B59AD" w:rsidRPr="001A0A3C" w:rsidRDefault="001A0A3C" w:rsidP="001A0A3C">
      <w:pPr>
        <w:pStyle w:val="Textecourant"/>
        <w:spacing w:after="0" w:line="216" w:lineRule="auto"/>
        <w:ind w:right="-993" w:hanging="993"/>
        <w:jc w:val="both"/>
        <w:rPr>
          <w:color w:val="000091" w:themeColor="text1"/>
          <w:sz w:val="52"/>
          <w:szCs w:val="52"/>
        </w:rPr>
      </w:pPr>
      <w:r>
        <w:rPr>
          <w:rFonts w:ascii="Marianne" w:hAnsi="Marianne" w:cs="Arial"/>
          <w:b/>
          <w:bCs/>
          <w:color w:val="000091" w:themeColor="text1"/>
          <w:sz w:val="48"/>
          <w:szCs w:val="48"/>
        </w:rPr>
        <w:t>Allemagne</w:t>
      </w:r>
    </w:p>
    <w:p w14:paraId="6138049C" w14:textId="77777777" w:rsidR="004B59AD" w:rsidRDefault="004B59AD" w:rsidP="00DE6B2F">
      <w:pPr>
        <w:spacing w:after="0" w:line="240" w:lineRule="auto"/>
        <w:ind w:left="284" w:right="-993"/>
        <w:jc w:val="right"/>
        <w:rPr>
          <w:rFonts w:ascii="Marianne" w:hAnsi="Marianne"/>
          <w:color w:val="E4A503" w:themeColor="accent2" w:themeShade="BF"/>
          <w:sz w:val="16"/>
          <w:szCs w:val="16"/>
        </w:rPr>
      </w:pPr>
    </w:p>
    <w:p w14:paraId="3D15B4BB" w14:textId="77777777" w:rsidR="00B0283D" w:rsidRDefault="00B0283D" w:rsidP="00DE6B2F">
      <w:pPr>
        <w:spacing w:after="0" w:line="240" w:lineRule="auto"/>
        <w:ind w:left="284" w:right="-993"/>
        <w:jc w:val="right"/>
        <w:rPr>
          <w:rFonts w:ascii="Marianne" w:hAnsi="Marianne"/>
          <w:color w:val="E4A503" w:themeColor="accent2" w:themeShade="BF"/>
          <w:sz w:val="16"/>
          <w:szCs w:val="16"/>
        </w:rPr>
      </w:pPr>
    </w:p>
    <w:p w14:paraId="04C33E88" w14:textId="77777777" w:rsidR="001A0A3C" w:rsidRDefault="001A0A3C" w:rsidP="00DE6B2F">
      <w:pPr>
        <w:spacing w:after="0" w:line="240" w:lineRule="auto"/>
        <w:ind w:left="284" w:right="-993"/>
        <w:jc w:val="right"/>
        <w:rPr>
          <w:rFonts w:ascii="Marianne" w:hAnsi="Marianne"/>
          <w:color w:val="E4A503" w:themeColor="accent2" w:themeShade="BF"/>
          <w:sz w:val="16"/>
          <w:szCs w:val="16"/>
        </w:rPr>
      </w:pPr>
    </w:p>
    <w:p w14:paraId="51429DA7" w14:textId="77777777" w:rsidR="001A0A3C" w:rsidRDefault="001A0A3C" w:rsidP="00DE6B2F">
      <w:pPr>
        <w:spacing w:after="0" w:line="240" w:lineRule="auto"/>
        <w:ind w:left="284" w:right="-993"/>
        <w:jc w:val="right"/>
        <w:rPr>
          <w:rFonts w:ascii="Marianne" w:hAnsi="Marianne"/>
          <w:color w:val="E4A503" w:themeColor="accent2" w:themeShade="BF"/>
          <w:sz w:val="16"/>
          <w:szCs w:val="16"/>
        </w:rPr>
      </w:pPr>
    </w:p>
    <w:p w14:paraId="03A6FCFE" w14:textId="35E9380C" w:rsidR="00DE6B2F" w:rsidRPr="004B2ADB" w:rsidRDefault="00DE6B2F" w:rsidP="00DE6B2F">
      <w:pPr>
        <w:spacing w:after="0" w:line="240" w:lineRule="auto"/>
        <w:ind w:left="284" w:right="-993"/>
        <w:jc w:val="right"/>
        <w:rPr>
          <w:color w:val="000091" w:themeColor="text1"/>
        </w:rPr>
      </w:pPr>
      <w:r w:rsidRPr="004B2ADB">
        <w:rPr>
          <w:rFonts w:ascii="Marianne" w:hAnsi="Marianne"/>
          <w:color w:val="000091" w:themeColor="text1"/>
          <w:sz w:val="16"/>
          <w:szCs w:val="16"/>
        </w:rPr>
        <w:t xml:space="preserve">Une publication du SER de </w:t>
      </w:r>
      <w:r w:rsidR="009D0F73" w:rsidRPr="004B2ADB">
        <w:rPr>
          <w:rFonts w:ascii="Marianne" w:hAnsi="Marianne"/>
          <w:color w:val="000091" w:themeColor="text1"/>
          <w:sz w:val="16"/>
          <w:szCs w:val="16"/>
        </w:rPr>
        <w:t>Berlin</w:t>
      </w:r>
    </w:p>
    <w:p w14:paraId="72ED9053" w14:textId="0CC19CDB" w:rsidR="009F270E" w:rsidRDefault="00DE28DF" w:rsidP="009F270E">
      <w:pPr>
        <w:spacing w:after="0" w:line="240" w:lineRule="auto"/>
        <w:ind w:left="284" w:right="-993"/>
        <w:jc w:val="right"/>
        <w:rPr>
          <w:rFonts w:ascii="Marianne" w:hAnsi="Marianne"/>
          <w:color w:val="000091" w:themeColor="text1"/>
          <w:sz w:val="16"/>
          <w:szCs w:val="16"/>
        </w:rPr>
      </w:pPr>
      <w:sdt>
        <w:sdtPr>
          <w:rPr>
            <w:rFonts w:ascii="Marianne" w:hAnsi="Marianne"/>
            <w:color w:val="000091" w:themeColor="text1"/>
            <w:sz w:val="16"/>
            <w:szCs w:val="16"/>
          </w:rPr>
          <w:id w:val="-970135304"/>
          <w:picture/>
        </w:sdtPr>
        <w:sdtEndPr/>
        <w:sdtContent/>
      </w:sdt>
      <w:r w:rsidR="009D0F73" w:rsidRPr="004B2ADB">
        <w:rPr>
          <w:rFonts w:ascii="Marianne" w:hAnsi="Marianne"/>
          <w:color w:val="000091" w:themeColor="text1"/>
          <w:sz w:val="16"/>
          <w:szCs w:val="16"/>
        </w:rPr>
        <w:t>N°</w:t>
      </w:r>
      <w:r w:rsidR="00306A3C">
        <w:rPr>
          <w:rFonts w:ascii="Marianne" w:hAnsi="Marianne"/>
          <w:color w:val="000091" w:themeColor="text1"/>
          <w:sz w:val="16"/>
          <w:szCs w:val="16"/>
        </w:rPr>
        <w:t>03</w:t>
      </w:r>
      <w:r w:rsidR="009D0F73" w:rsidRPr="004B2ADB">
        <w:rPr>
          <w:rFonts w:ascii="Marianne" w:hAnsi="Marianne"/>
          <w:color w:val="000091" w:themeColor="text1"/>
          <w:sz w:val="16"/>
          <w:szCs w:val="16"/>
        </w:rPr>
        <w:t xml:space="preserve"> – </w:t>
      </w:r>
      <w:r w:rsidR="00306A3C">
        <w:rPr>
          <w:rFonts w:ascii="Marianne" w:hAnsi="Marianne"/>
          <w:color w:val="000091" w:themeColor="text1"/>
          <w:sz w:val="16"/>
          <w:szCs w:val="16"/>
        </w:rPr>
        <w:t>mars</w:t>
      </w:r>
      <w:r w:rsidR="000C5EEA">
        <w:rPr>
          <w:rFonts w:ascii="Marianne" w:hAnsi="Marianne"/>
          <w:color w:val="000091" w:themeColor="text1"/>
          <w:sz w:val="16"/>
          <w:szCs w:val="16"/>
        </w:rPr>
        <w:t xml:space="preserve"> </w:t>
      </w:r>
      <w:r w:rsidR="009D0F73" w:rsidRPr="004B2ADB">
        <w:rPr>
          <w:rFonts w:ascii="Marianne" w:hAnsi="Marianne"/>
          <w:color w:val="000091" w:themeColor="text1"/>
          <w:sz w:val="16"/>
          <w:szCs w:val="16"/>
        </w:rPr>
        <w:t>202</w:t>
      </w:r>
      <w:r w:rsidR="00306A3C">
        <w:rPr>
          <w:rFonts w:ascii="Marianne" w:hAnsi="Marianne"/>
          <w:color w:val="000091" w:themeColor="text1"/>
          <w:sz w:val="16"/>
          <w:szCs w:val="16"/>
        </w:rPr>
        <w:t>4</w:t>
      </w:r>
    </w:p>
    <w:p w14:paraId="37ECFD70" w14:textId="77777777" w:rsidR="009F270E" w:rsidRDefault="009F270E" w:rsidP="009F270E">
      <w:pPr>
        <w:spacing w:after="0" w:line="240" w:lineRule="auto"/>
        <w:ind w:right="-993"/>
        <w:rPr>
          <w:rFonts w:ascii="Marianne" w:hAnsi="Marianne"/>
          <w:color w:val="000091" w:themeColor="text1"/>
          <w:sz w:val="16"/>
          <w:szCs w:val="16"/>
        </w:rPr>
      </w:pPr>
    </w:p>
    <w:p w14:paraId="1614CC29" w14:textId="77777777" w:rsidR="00F672C8" w:rsidRDefault="001A1CF0" w:rsidP="007D042A">
      <w:pPr>
        <w:spacing w:after="0" w:line="240" w:lineRule="auto"/>
        <w:ind w:right="-993"/>
        <w:rPr>
          <w:rStyle w:val="BREVESECOChiffre1Car"/>
          <w:color w:val="000091" w:themeColor="text1"/>
          <w:sz w:val="52"/>
          <w:szCs w:val="112"/>
        </w:rPr>
      </w:pPr>
      <w:r w:rsidRPr="00F319E7">
        <w:rPr>
          <w:rStyle w:val="BREVESECOChiffre1Car"/>
          <w:color w:val="000091" w:themeColor="text1"/>
          <w:sz w:val="52"/>
          <w:szCs w:val="112"/>
        </w:rPr>
        <w:t>Sommaire</w:t>
      </w:r>
    </w:p>
    <w:p w14:paraId="73C7A1FA" w14:textId="36E8F2A6" w:rsidR="00406E2E" w:rsidRPr="007D042A" w:rsidRDefault="00406E2E" w:rsidP="007D042A">
      <w:pPr>
        <w:spacing w:after="0" w:line="240" w:lineRule="auto"/>
        <w:ind w:right="-993"/>
        <w:rPr>
          <w:rFonts w:ascii="Marianne" w:hAnsi="Marianne"/>
          <w:color w:val="000091" w:themeColor="text1"/>
          <w:sz w:val="16"/>
          <w:szCs w:val="16"/>
        </w:rPr>
        <w:sectPr w:rsidR="00406E2E" w:rsidRPr="007D042A" w:rsidSect="001A1CF0">
          <w:type w:val="continuous"/>
          <w:pgSz w:w="11906" w:h="16838"/>
          <w:pgMar w:top="0" w:right="1417" w:bottom="0" w:left="1417" w:header="708" w:footer="708" w:gutter="0"/>
          <w:cols w:space="708"/>
          <w:docGrid w:linePitch="360"/>
        </w:sectPr>
      </w:pPr>
    </w:p>
    <w:sdt>
      <w:sdtPr>
        <w:rPr>
          <w:rFonts w:asciiTheme="minorHAnsi" w:hAnsiTheme="minorHAnsi" w:cstheme="minorBidi"/>
          <w:noProof w:val="0"/>
          <w:color w:val="auto"/>
          <w:lang w:val="fr-FR"/>
        </w:rPr>
        <w:id w:val="-102650416"/>
        <w:docPartObj>
          <w:docPartGallery w:val="Table of Contents"/>
          <w:docPartUnique/>
        </w:docPartObj>
      </w:sdtPr>
      <w:sdtEndPr>
        <w:rPr>
          <w:rFonts w:ascii="Marianne Medium" w:hAnsi="Marianne Medium" w:cs="Times New Roman (Corps CS)"/>
          <w:noProof/>
          <w:color w:val="6A6AF4" w:themeColor="text2"/>
          <w:lang w:val="en-US"/>
        </w:rPr>
      </w:sdtEndPr>
      <w:sdtContent>
        <w:p w14:paraId="0F64DF8C" w14:textId="1CF0D5B2" w:rsidR="00785D0A" w:rsidRDefault="003873C0">
          <w:pPr>
            <w:pStyle w:val="TM1"/>
            <w:rPr>
              <w:rFonts w:asciiTheme="minorHAnsi" w:eastAsiaTheme="minorEastAsia" w:hAnsiTheme="minorHAnsi" w:cstheme="minorBidi"/>
              <w:b w:val="0"/>
              <w:bCs w:val="0"/>
              <w:color w:val="auto"/>
              <w:sz w:val="22"/>
              <w:szCs w:val="22"/>
              <w:lang w:val="fr-FR" w:eastAsia="fr-FR"/>
            </w:rPr>
          </w:pPr>
          <w:r w:rsidRPr="004A2794">
            <w:fldChar w:fldCharType="begin"/>
          </w:r>
          <w:r w:rsidRPr="004A2794">
            <w:instrText xml:space="preserve"> TOC \o "1-2" \n \p " " \h \z \u </w:instrText>
          </w:r>
          <w:r w:rsidRPr="004A2794">
            <w:fldChar w:fldCharType="separate"/>
          </w:r>
          <w:hyperlink w:anchor="_Toc163572705" w:history="1">
            <w:r w:rsidR="00785D0A" w:rsidRPr="000D33CF">
              <w:rPr>
                <w:rStyle w:val="Lienhypertexte"/>
              </w:rPr>
              <w:t>Le chiffre du mois</w:t>
            </w:r>
          </w:hyperlink>
        </w:p>
        <w:p w14:paraId="2BE0AEF0" w14:textId="413A9C49"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06" w:history="1">
            <w:r w:rsidR="00785D0A" w:rsidRPr="000D33CF">
              <w:rPr>
                <w:rStyle w:val="Lienhypertexte"/>
              </w:rPr>
              <w:t>Transition Ecologique &amp; Energétique</w:t>
            </w:r>
          </w:hyperlink>
        </w:p>
        <w:p w14:paraId="65A4060D" w14:textId="5B5E73EB"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07" w:history="1">
            <w:r w:rsidR="00785D0A" w:rsidRPr="000D33CF">
              <w:rPr>
                <w:rStyle w:val="Lienhypertexte"/>
              </w:rPr>
              <w:t>1</w:t>
            </w:r>
            <w:r w:rsidR="00785D0A" w:rsidRPr="000D33CF">
              <w:rPr>
                <w:rStyle w:val="Lienhypertexte"/>
                <w:rFonts w:cs="Calibri"/>
              </w:rPr>
              <w:t>. CCfD</w:t>
            </w:r>
            <w:r w:rsidR="00785D0A" w:rsidRPr="000D33CF">
              <w:rPr>
                <w:rStyle w:val="Lienhypertexte"/>
                <w:rFonts w:ascii="Calibri" w:hAnsi="Calibri" w:cs="Calibri"/>
              </w:rPr>
              <w:t> </w:t>
            </w:r>
            <w:r w:rsidR="00785D0A" w:rsidRPr="000D33CF">
              <w:rPr>
                <w:rStyle w:val="Lienhypertexte"/>
                <w:rFonts w:cs="Calibri"/>
              </w:rPr>
              <w:t>: Lancement des premiers appels d’offres</w:t>
            </w:r>
          </w:hyperlink>
        </w:p>
        <w:p w14:paraId="60890AE5" w14:textId="6719FEF8"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08" w:history="1">
            <w:r w:rsidR="00785D0A" w:rsidRPr="000D33CF">
              <w:rPr>
                <w:rStyle w:val="Lienhypertexte"/>
              </w:rPr>
              <w:t xml:space="preserve">2. </w:t>
            </w:r>
            <w:r w:rsidR="00785D0A" w:rsidRPr="000D33CF">
              <w:rPr>
                <w:rStyle w:val="Lienhypertexte"/>
                <w:rFonts w:cs="Calibri"/>
              </w:rPr>
              <w:t>Cour des comptes</w:t>
            </w:r>
            <w:r w:rsidR="00785D0A" w:rsidRPr="000D33CF">
              <w:rPr>
                <w:rStyle w:val="Lienhypertexte"/>
                <w:rFonts w:ascii="Calibri" w:hAnsi="Calibri" w:cs="Calibri"/>
              </w:rPr>
              <w:t> </w:t>
            </w:r>
            <w:r w:rsidR="00785D0A" w:rsidRPr="000D33CF">
              <w:rPr>
                <w:rStyle w:val="Lienhypertexte"/>
                <w:rFonts w:cs="Calibri"/>
              </w:rPr>
              <w:t>: rapport critique sur la mise en œuvre de la transition énergétique en Allemagne</w:t>
            </w:r>
          </w:hyperlink>
        </w:p>
        <w:p w14:paraId="0473DBCC" w14:textId="130ED5B5"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09" w:history="1">
            <w:r w:rsidR="00785D0A" w:rsidRPr="000D33CF">
              <w:rPr>
                <w:rStyle w:val="Lienhypertexte"/>
              </w:rPr>
              <w:t>3. Hydrogène</w:t>
            </w:r>
            <w:r w:rsidR="00785D0A" w:rsidRPr="000D33CF">
              <w:rPr>
                <w:rStyle w:val="Lienhypertexte"/>
                <w:rFonts w:ascii="Calibri" w:hAnsi="Calibri" w:cs="Calibri"/>
              </w:rPr>
              <w:t> </w:t>
            </w:r>
            <w:r w:rsidR="00785D0A" w:rsidRPr="000D33CF">
              <w:rPr>
                <w:rStyle w:val="Lienhypertexte"/>
              </w:rPr>
              <w:t>: Coopération renforcée entre l’Allemagne et la</w:t>
            </w:r>
            <w:r w:rsidR="00785D0A" w:rsidRPr="000D33CF">
              <w:rPr>
                <w:rStyle w:val="Lienhypertexte"/>
                <w:rFonts w:ascii="Calibri" w:hAnsi="Calibri" w:cs="Calibri"/>
              </w:rPr>
              <w:t> </w:t>
            </w:r>
            <w:r w:rsidR="00785D0A" w:rsidRPr="000D33CF">
              <w:rPr>
                <w:rStyle w:val="Lienhypertexte"/>
              </w:rPr>
              <w:t>Namibie</w:t>
            </w:r>
          </w:hyperlink>
        </w:p>
        <w:p w14:paraId="6BC3C419" w14:textId="3A68E334"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0" w:history="1">
            <w:r w:rsidR="00785D0A" w:rsidRPr="000D33CF">
              <w:rPr>
                <w:rStyle w:val="Lienhypertexte"/>
              </w:rPr>
              <w:t>4.</w:t>
            </w:r>
            <w:r w:rsidR="00785D0A" w:rsidRPr="000D33CF">
              <w:rPr>
                <w:rStyle w:val="Lienhypertexte"/>
                <w:rFonts w:cs="Calibri"/>
              </w:rPr>
              <w:t xml:space="preserve"> Emissions de gaz à effet de serre en Allemagne</w:t>
            </w:r>
            <w:r w:rsidR="00785D0A" w:rsidRPr="000D33CF">
              <w:rPr>
                <w:rStyle w:val="Lienhypertexte"/>
                <w:rFonts w:ascii="Calibri" w:hAnsi="Calibri" w:cs="Calibri"/>
              </w:rPr>
              <w:t> </w:t>
            </w:r>
            <w:r w:rsidR="00785D0A" w:rsidRPr="000D33CF">
              <w:rPr>
                <w:rStyle w:val="Lienhypertexte"/>
                <w:rFonts w:cs="Calibri"/>
              </w:rPr>
              <w:t>: publication de l’UBA pour l’année 2023</w:t>
            </w:r>
          </w:hyperlink>
        </w:p>
        <w:p w14:paraId="5046EC9D" w14:textId="2BFFDA73"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1" w:history="1">
            <w:r w:rsidR="00785D0A" w:rsidRPr="000D33CF">
              <w:rPr>
                <w:rStyle w:val="Lienhypertexte"/>
              </w:rPr>
              <w:t>5. Coopération franco-allemande sur la flexibilité des systèmes énergétiques</w:t>
            </w:r>
          </w:hyperlink>
        </w:p>
        <w:p w14:paraId="4BF034DA" w14:textId="01635151"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2" w:history="1">
            <w:r w:rsidR="00785D0A" w:rsidRPr="000D33CF">
              <w:rPr>
                <w:rStyle w:val="Lienhypertexte"/>
              </w:rPr>
              <w:t>6.  Klimageld</w:t>
            </w:r>
            <w:r w:rsidR="00785D0A" w:rsidRPr="000D33CF">
              <w:rPr>
                <w:rStyle w:val="Lienhypertexte"/>
                <w:rFonts w:ascii="Calibri" w:hAnsi="Calibri" w:cs="Calibri"/>
              </w:rPr>
              <w:t> </w:t>
            </w:r>
            <w:r w:rsidR="00785D0A" w:rsidRPr="000D33CF">
              <w:rPr>
                <w:rStyle w:val="Lienhypertexte"/>
              </w:rPr>
              <w:t>: Les Länder demandent le versement de l’allocation à partir de 2025</w:t>
            </w:r>
          </w:hyperlink>
        </w:p>
        <w:p w14:paraId="592865A9" w14:textId="7BC68654"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3" w:history="1">
            <w:r w:rsidR="00785D0A" w:rsidRPr="000D33CF">
              <w:rPr>
                <w:rStyle w:val="Lienhypertexte"/>
              </w:rPr>
              <w:t>Transports</w:t>
            </w:r>
          </w:hyperlink>
        </w:p>
        <w:p w14:paraId="7DD0F5C2" w14:textId="79EF73BA"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4" w:history="1">
            <w:r w:rsidR="00785D0A" w:rsidRPr="000D33CF">
              <w:rPr>
                <w:rStyle w:val="Lienhypertexte"/>
              </w:rPr>
              <w:t>1. Le gouvernement publie sa stratégie nationale pour les ports, au financement incertain</w:t>
            </w:r>
          </w:hyperlink>
        </w:p>
        <w:p w14:paraId="54710CDC" w14:textId="5C19EAD8"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5" w:history="1">
            <w:r w:rsidR="00785D0A" w:rsidRPr="000D33CF">
              <w:rPr>
                <w:rStyle w:val="Lienhypertexte"/>
              </w:rPr>
              <w:t>2. Pour la Deutsche Bahn et Lufthansa, deux accords tarifaires trouvés in extremis avant Pâques</w:t>
            </w:r>
          </w:hyperlink>
        </w:p>
        <w:p w14:paraId="100737A8" w14:textId="3C66128A"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6" w:history="1">
            <w:r w:rsidR="00785D0A" w:rsidRPr="000D33CF">
              <w:rPr>
                <w:rStyle w:val="Lienhypertexte"/>
              </w:rPr>
              <w:t>3. En 2023, le transport fluvial dans une mauvaise passe</w:t>
            </w:r>
          </w:hyperlink>
        </w:p>
        <w:p w14:paraId="7FEED270" w14:textId="25489599"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7" w:history="1">
            <w:r w:rsidR="00785D0A" w:rsidRPr="000D33CF">
              <w:rPr>
                <w:rStyle w:val="Lienhypertexte"/>
              </w:rPr>
              <w:t>Entreprises  &amp; International</w:t>
            </w:r>
          </w:hyperlink>
        </w:p>
        <w:p w14:paraId="080C0B8D" w14:textId="49F57353"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8" w:history="1">
            <w:r w:rsidR="00785D0A" w:rsidRPr="000D33CF">
              <w:rPr>
                <w:rStyle w:val="Lienhypertexte"/>
              </w:rPr>
              <w:t>1. Une nouvelle loi adoptée pour la débureaucratisation du secteur économique</w:t>
            </w:r>
          </w:hyperlink>
        </w:p>
        <w:p w14:paraId="5123D340" w14:textId="4A2422F1"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19" w:history="1">
            <w:r w:rsidR="00785D0A" w:rsidRPr="000D33CF">
              <w:rPr>
                <w:rStyle w:val="Lienhypertexte"/>
              </w:rPr>
              <w:t>2. Le Ministre Habeck prend position pour le futur de l’industrie militaire allemande</w:t>
            </w:r>
          </w:hyperlink>
        </w:p>
        <w:p w14:paraId="666C0C79" w14:textId="05105816"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0" w:history="1">
            <w:r w:rsidR="00785D0A" w:rsidRPr="000D33CF">
              <w:rPr>
                <w:rStyle w:val="Lienhypertexte"/>
              </w:rPr>
              <w:t>3. Rheinmetall augmente significativement sa production d’artillerie</w:t>
            </w:r>
          </w:hyperlink>
        </w:p>
        <w:p w14:paraId="5A277012" w14:textId="027E894E"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1" w:history="1">
            <w:r w:rsidR="00785D0A" w:rsidRPr="000D33CF">
              <w:rPr>
                <w:rStyle w:val="Lienhypertexte"/>
              </w:rPr>
              <w:t>4. Voyage de Robert Habeck aux Etats-Unis pour promouvoir notamment un mini libre-échange avec l’UE</w:t>
            </w:r>
          </w:hyperlink>
        </w:p>
        <w:p w14:paraId="360354E1" w14:textId="28584F53"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2" w:history="1">
            <w:r w:rsidR="00785D0A" w:rsidRPr="000D33CF">
              <w:rPr>
                <w:rStyle w:val="Lienhypertexte"/>
              </w:rPr>
              <w:t>5. Novo Nordisk rachète Cardior</w:t>
            </w:r>
          </w:hyperlink>
        </w:p>
        <w:p w14:paraId="38DC1C9F" w14:textId="04B09026"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3" w:history="1">
            <w:r w:rsidR="00785D0A" w:rsidRPr="000D33CF">
              <w:rPr>
                <w:rStyle w:val="Lienhypertexte"/>
              </w:rPr>
              <w:t>6. Baisse record du chiffre d’affaire de Biontech</w:t>
            </w:r>
          </w:hyperlink>
        </w:p>
        <w:p w14:paraId="6F42D447" w14:textId="27ED7A0B"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4" w:history="1">
            <w:r w:rsidR="00785D0A" w:rsidRPr="000D33CF">
              <w:rPr>
                <w:rStyle w:val="Lienhypertexte"/>
              </w:rPr>
              <w:t xml:space="preserve">7. </w:t>
            </w:r>
            <w:r w:rsidR="00EE0C0E">
              <w:rPr>
                <w:rStyle w:val="Lienhypertexte"/>
              </w:rPr>
              <w:t>Le gouvernement fédéral renonce au soutien de l’industrie p</w:t>
            </w:r>
            <w:r w:rsidR="00785D0A" w:rsidRPr="000D33CF">
              <w:rPr>
                <w:rStyle w:val="Lienhypertexte"/>
              </w:rPr>
              <w:t>hotovoltaïque</w:t>
            </w:r>
            <w:r w:rsidR="00785D0A" w:rsidRPr="000D33CF">
              <w:rPr>
                <w:rStyle w:val="Lienhypertexte"/>
                <w:rFonts w:ascii="Calibri" w:hAnsi="Calibri" w:cs="Calibri"/>
              </w:rPr>
              <w:t> </w:t>
            </w:r>
          </w:hyperlink>
        </w:p>
        <w:p w14:paraId="71D6A3CC" w14:textId="3BC542BF"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5" w:history="1">
            <w:r w:rsidR="00785D0A" w:rsidRPr="000D33CF">
              <w:rPr>
                <w:rStyle w:val="Lienhypertexte"/>
              </w:rPr>
              <w:t>Numérique  &amp; Innovation</w:t>
            </w:r>
          </w:hyperlink>
        </w:p>
        <w:p w14:paraId="64426D28" w14:textId="60A0B074" w:rsidR="00785D0A" w:rsidRDefault="00DE28DF" w:rsidP="00785D0A">
          <w:pPr>
            <w:pStyle w:val="TM1"/>
            <w:rPr>
              <w:rFonts w:asciiTheme="minorHAnsi" w:eastAsiaTheme="minorEastAsia" w:hAnsiTheme="minorHAnsi" w:cstheme="minorBidi"/>
              <w:b w:val="0"/>
              <w:bCs w:val="0"/>
              <w:color w:val="auto"/>
              <w:sz w:val="22"/>
              <w:szCs w:val="22"/>
              <w:lang w:val="fr-FR" w:eastAsia="fr-FR"/>
            </w:rPr>
          </w:pPr>
          <w:hyperlink w:anchor="_Toc163572726" w:history="1">
            <w:r w:rsidR="00785D0A" w:rsidRPr="000D33CF">
              <w:rPr>
                <w:rStyle w:val="Lienhypertexte"/>
              </w:rPr>
              <w:t>1.</w:t>
            </w:r>
            <w:r w:rsidR="00785D0A">
              <w:rPr>
                <w:rFonts w:asciiTheme="minorHAnsi" w:eastAsiaTheme="minorEastAsia" w:hAnsiTheme="minorHAnsi" w:cstheme="minorBidi"/>
                <w:b w:val="0"/>
                <w:bCs w:val="0"/>
                <w:color w:val="auto"/>
                <w:sz w:val="22"/>
                <w:szCs w:val="22"/>
                <w:lang w:val="fr-FR" w:eastAsia="fr-FR"/>
              </w:rPr>
              <w:tab/>
            </w:r>
            <w:r w:rsidR="00785D0A" w:rsidRPr="000D33CF">
              <w:rPr>
                <w:rStyle w:val="Lienhypertexte"/>
              </w:rPr>
              <w:t>Le gouvernement commande un cloud sécurisé au fournisseur allemand Ionos</w:t>
            </w:r>
          </w:hyperlink>
        </w:p>
        <w:p w14:paraId="636279FC" w14:textId="178B6478"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8" w:history="1">
            <w:r w:rsidR="00785D0A" w:rsidRPr="000D33CF">
              <w:rPr>
                <w:rStyle w:val="Lienhypertexte"/>
              </w:rPr>
              <w:t>2.</w:t>
            </w:r>
            <w:r w:rsidR="00785D0A">
              <w:rPr>
                <w:rFonts w:asciiTheme="minorHAnsi" w:eastAsiaTheme="minorEastAsia" w:hAnsiTheme="minorHAnsi" w:cstheme="minorBidi"/>
                <w:b w:val="0"/>
                <w:bCs w:val="0"/>
                <w:color w:val="auto"/>
                <w:sz w:val="22"/>
                <w:szCs w:val="22"/>
                <w:lang w:val="fr-FR" w:eastAsia="fr-FR"/>
              </w:rPr>
              <w:tab/>
            </w:r>
            <w:r w:rsidR="00785D0A" w:rsidRPr="000D33CF">
              <w:rPr>
                <w:rStyle w:val="Lienhypertexte"/>
              </w:rPr>
              <w:t>Les start-ups solaires ont le vent en poupe</w:t>
            </w:r>
            <w:r w:rsidR="00785D0A" w:rsidRPr="000D33CF">
              <w:rPr>
                <w:rStyle w:val="Lienhypertexte"/>
                <w:rFonts w:ascii="Calibri" w:hAnsi="Calibri" w:cs="Calibri"/>
              </w:rPr>
              <w:t> </w:t>
            </w:r>
            <w:r w:rsidR="00785D0A" w:rsidRPr="000D33CF">
              <w:rPr>
                <w:rStyle w:val="Lienhypertexte"/>
              </w:rPr>
              <w:t>: Après Enpal et 1Komma5, Zolar s’assure un crédit de 100 M d’euros.</w:t>
            </w:r>
          </w:hyperlink>
        </w:p>
        <w:p w14:paraId="53EEAC4F" w14:textId="31BA3586" w:rsidR="00785D0A" w:rsidRDefault="00DE28DF">
          <w:pPr>
            <w:pStyle w:val="TM1"/>
            <w:rPr>
              <w:rFonts w:asciiTheme="minorHAnsi" w:eastAsiaTheme="minorEastAsia" w:hAnsiTheme="minorHAnsi" w:cstheme="minorBidi"/>
              <w:b w:val="0"/>
              <w:bCs w:val="0"/>
              <w:color w:val="auto"/>
              <w:sz w:val="22"/>
              <w:szCs w:val="22"/>
              <w:lang w:val="fr-FR" w:eastAsia="fr-FR"/>
            </w:rPr>
          </w:pPr>
          <w:hyperlink w:anchor="_Toc163572729" w:history="1">
            <w:r w:rsidR="00785D0A" w:rsidRPr="00785D0A">
              <w:rPr>
                <w:rStyle w:val="Lienhypertexte"/>
                <w:rFonts w:asciiTheme="minorHAnsi" w:hAnsiTheme="minorHAnsi" w:cstheme="minorBidi"/>
                <w:b w:val="0"/>
                <w:bCs w:val="0"/>
                <w:noProof w:val="0"/>
                <w:sz w:val="22"/>
                <w:szCs w:val="22"/>
                <w:lang w:val="fr-FR"/>
              </w:rPr>
              <w:t>_Toc163572729</w:t>
            </w:r>
          </w:hyperlink>
        </w:p>
        <w:p w14:paraId="61570B21" w14:textId="065544E5" w:rsidR="00F672C8" w:rsidRDefault="003873C0" w:rsidP="004A2794">
          <w:pPr>
            <w:pStyle w:val="TM1"/>
            <w:sectPr w:rsidR="00F672C8" w:rsidSect="00F672C8">
              <w:type w:val="continuous"/>
              <w:pgSz w:w="11906" w:h="16838"/>
              <w:pgMar w:top="0" w:right="1417" w:bottom="0" w:left="1417" w:header="708" w:footer="708" w:gutter="0"/>
              <w:cols w:num="2" w:space="708"/>
              <w:docGrid w:linePitch="360"/>
            </w:sectPr>
          </w:pPr>
          <w:r w:rsidRPr="004A2794">
            <w:fldChar w:fldCharType="end"/>
          </w:r>
        </w:p>
      </w:sdtContent>
    </w:sdt>
    <w:p w14:paraId="2137B2F7" w14:textId="77777777" w:rsidR="00AF77E1" w:rsidRDefault="00AF77E1" w:rsidP="00AF77E1">
      <w:pPr>
        <w:pStyle w:val="Titre1"/>
        <w:sectPr w:rsidR="00AF77E1" w:rsidSect="001A1CF0">
          <w:type w:val="continuous"/>
          <w:pgSz w:w="11906" w:h="16838"/>
          <w:pgMar w:top="0" w:right="1417" w:bottom="0" w:left="1417" w:header="708" w:footer="708" w:gutter="0"/>
          <w:cols w:space="708"/>
          <w:docGrid w:linePitch="360"/>
        </w:sectPr>
      </w:pPr>
    </w:p>
    <w:p w14:paraId="7FF5A1CF" w14:textId="77777777" w:rsidR="00AF77E1" w:rsidRDefault="00AF77E1" w:rsidP="00C40551">
      <w:pPr>
        <w:pStyle w:val="Soustitrechapeau"/>
      </w:pPr>
    </w:p>
    <w:p w14:paraId="6D7688BB" w14:textId="5F59A96C" w:rsidR="007A6437" w:rsidRDefault="007A6437" w:rsidP="00C40551">
      <w:pPr>
        <w:pStyle w:val="Soustitrechapeau"/>
        <w:sectPr w:rsidR="007A6437" w:rsidSect="001A1CF0">
          <w:type w:val="continuous"/>
          <w:pgSz w:w="11906" w:h="16838"/>
          <w:pgMar w:top="0" w:right="1417" w:bottom="0" w:left="1417" w:header="708" w:footer="708" w:gutter="0"/>
          <w:cols w:space="708"/>
          <w:docGrid w:linePitch="360"/>
        </w:sectPr>
      </w:pPr>
    </w:p>
    <w:p w14:paraId="041DE3B3" w14:textId="37667C02" w:rsidR="000743ED" w:rsidRPr="001C4351" w:rsidRDefault="000743ED" w:rsidP="000743ED">
      <w:pPr>
        <w:pStyle w:val="Titre1"/>
      </w:pPr>
      <w:bookmarkStart w:id="0" w:name="_Toc163229037"/>
      <w:bookmarkStart w:id="1" w:name="_Toc163480884"/>
      <w:bookmarkStart w:id="2" w:name="_Toc163572705"/>
      <w:bookmarkStart w:id="3" w:name="_Toc148091892"/>
      <w:bookmarkStart w:id="4" w:name="_Toc148091918"/>
      <w:bookmarkStart w:id="5" w:name="_Toc148091938"/>
      <w:bookmarkStart w:id="6" w:name="_Toc148092148"/>
      <w:bookmarkStart w:id="7" w:name="_Toc148092189"/>
      <w:bookmarkStart w:id="8" w:name="_Toc148092756"/>
      <w:r w:rsidRPr="001C4351">
        <w:t>Le chiffre du mois</w:t>
      </w:r>
      <w:bookmarkEnd w:id="0"/>
      <w:bookmarkEnd w:id="1"/>
      <w:bookmarkEnd w:id="2"/>
    </w:p>
    <w:p w14:paraId="09B4ED8C" w14:textId="513F3E8B" w:rsidR="000743ED" w:rsidRDefault="000743ED" w:rsidP="000743ED">
      <w:pPr>
        <w:pStyle w:val="Textecourant"/>
        <w:ind w:left="851" w:right="992"/>
      </w:pPr>
      <w:r w:rsidRPr="0073149E">
        <w:rPr>
          <w:rFonts w:ascii="PucesBreveco" w:hAnsi="PucesBreveco"/>
          <w:noProof/>
          <w:szCs w:val="30"/>
        </w:rPr>
        <mc:AlternateContent>
          <mc:Choice Requires="wps">
            <w:drawing>
              <wp:anchor distT="0" distB="0" distL="114300" distR="114300" simplePos="0" relativeHeight="251658244" behindDoc="0" locked="0" layoutInCell="1" allowOverlap="1" wp14:anchorId="40F1AEFC" wp14:editId="1E353375">
                <wp:simplePos x="0" y="0"/>
                <wp:positionH relativeFrom="column">
                  <wp:align>right</wp:align>
                </wp:positionH>
                <wp:positionV relativeFrom="paragraph">
                  <wp:posOffset>150049</wp:posOffset>
                </wp:positionV>
                <wp:extent cx="2617272" cy="2334536"/>
                <wp:effectExtent l="19050" t="19050" r="12065" b="27940"/>
                <wp:wrapNone/>
                <wp:docPr id="8" name="Rectangle 8"/>
                <wp:cNvGraphicFramePr/>
                <a:graphic xmlns:a="http://schemas.openxmlformats.org/drawingml/2006/main">
                  <a:graphicData uri="http://schemas.microsoft.com/office/word/2010/wordprocessingShape">
                    <wps:wsp>
                      <wps:cNvSpPr/>
                      <wps:spPr>
                        <a:xfrm>
                          <a:off x="0" y="0"/>
                          <a:ext cx="2617272" cy="2334536"/>
                        </a:xfrm>
                        <a:prstGeom prst="rect">
                          <a:avLst/>
                        </a:prstGeom>
                        <a:solidFill>
                          <a:schemeClr val="bg1"/>
                        </a:solidFill>
                        <a:ln w="38100">
                          <a:solidFill>
                            <a:srgbClr val="FBE76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F3D685" w14:textId="77777777" w:rsidR="000743ED" w:rsidRPr="000A6EBF" w:rsidRDefault="000743ED" w:rsidP="000743ED">
                            <w:pPr>
                              <w:spacing w:after="0" w:line="0" w:lineRule="atLeast"/>
                              <w:jc w:val="center"/>
                              <w:rPr>
                                <w:rFonts w:ascii="Marianne Medium" w:hAnsi="Marianne Medium" w:cs="Times New Roman (Corps CS)"/>
                                <w:bCs/>
                                <w:color w:val="000000"/>
                                <w:sz w:val="20"/>
                                <w:szCs w:val="16"/>
                              </w:rPr>
                            </w:pPr>
                            <w:r w:rsidRPr="000A6EBF">
                              <w:rPr>
                                <w:rFonts w:ascii="Marianne Medium" w:hAnsi="Marianne Medium" w:cs="Times New Roman (Corps CS)"/>
                                <w:bCs/>
                                <w:color w:val="000000"/>
                                <w:sz w:val="20"/>
                                <w:szCs w:val="16"/>
                              </w:rPr>
                              <w:t>LE CHIFFRE A RETENIR</w:t>
                            </w:r>
                          </w:p>
                          <w:p w14:paraId="05799479" w14:textId="773C71B2" w:rsidR="000743ED" w:rsidRPr="001C4351" w:rsidRDefault="00313754" w:rsidP="00313754">
                            <w:pPr>
                              <w:pStyle w:val="BREVESECOChiffre1"/>
                              <w:numPr>
                                <w:ilvl w:val="0"/>
                                <w:numId w:val="36"/>
                              </w:numPr>
                              <w:rPr>
                                <w:rFonts w:ascii="Marianne Light" w:hAnsi="Marianne Light"/>
                                <w:color w:val="6A6AF4" w:themeColor="text2"/>
                                <w:sz w:val="30"/>
                                <w:szCs w:val="24"/>
                              </w:rPr>
                            </w:pPr>
                            <w:r>
                              <w:rPr>
                                <w:color w:val="6A6AF4" w:themeColor="text2"/>
                              </w:rPr>
                              <w:t>30%</w:t>
                            </w:r>
                          </w:p>
                          <w:p w14:paraId="4C63B2A6" w14:textId="5AF89FCB" w:rsidR="00D30F6E" w:rsidRPr="00A262E1" w:rsidRDefault="00313754" w:rsidP="00966FE6">
                            <w:pPr>
                              <w:spacing w:after="0" w:line="0" w:lineRule="atLeast"/>
                              <w:jc w:val="both"/>
                              <w:rPr>
                                <w:color w:val="000000"/>
                                <w:sz w:val="24"/>
                                <w:szCs w:val="24"/>
                              </w:rPr>
                            </w:pPr>
                            <w:r w:rsidRPr="00313754">
                              <w:rPr>
                                <w:rFonts w:ascii="Marianne" w:hAnsi="Marianne" w:cs="Times New Roman (Corps CS)"/>
                                <w:bCs/>
                                <w:color w:val="000000"/>
                                <w:sz w:val="18"/>
                                <w:szCs w:val="14"/>
                              </w:rPr>
                              <w:t>Le secteur des voitures électriques en Allemagne perd son élan. Les nouvelles immatriculations ont chuté de près de 30 %</w:t>
                            </w:r>
                            <w:r>
                              <w:rPr>
                                <w:rFonts w:ascii="Marianne" w:hAnsi="Marianne" w:cs="Times New Roman (Corps CS)"/>
                                <w:bCs/>
                                <w:color w:val="000000"/>
                                <w:sz w:val="18"/>
                                <w:szCs w:val="14"/>
                              </w:rPr>
                              <w:t xml:space="preserve"> en Mars</w:t>
                            </w:r>
                            <w:r w:rsidR="00382F5F">
                              <w:rPr>
                                <w:rFonts w:ascii="Marianne" w:hAnsi="Marianne" w:cs="Times New Roman (Corps CS)"/>
                                <w:bCs/>
                                <w:color w:val="000000"/>
                                <w:sz w:val="18"/>
                                <w:szCs w:val="14"/>
                              </w:rPr>
                              <w:t xml:space="preserve"> par rapport à Mars 2023</w:t>
                            </w:r>
                            <w:r w:rsidRPr="00313754">
                              <w:rPr>
                                <w:rFonts w:ascii="Marianne" w:hAnsi="Marianne" w:cs="Times New Roman (Corps CS)"/>
                                <w:bCs/>
                                <w:color w:val="000000"/>
                                <w:sz w:val="18"/>
                                <w:szCs w:val="14"/>
                              </w:rPr>
                              <w:t xml:space="preserve">. </w:t>
                            </w:r>
                            <w:r w:rsidR="00382F5F">
                              <w:rPr>
                                <w:rFonts w:ascii="Marianne" w:hAnsi="Marianne" w:cs="Times New Roman (Corps CS)"/>
                                <w:bCs/>
                                <w:color w:val="000000"/>
                                <w:sz w:val="18"/>
                                <w:szCs w:val="14"/>
                              </w:rPr>
                              <w:t>L</w:t>
                            </w:r>
                            <w:r w:rsidRPr="00313754">
                              <w:rPr>
                                <w:rFonts w:ascii="Marianne" w:hAnsi="Marianne" w:cs="Times New Roman (Corps CS)"/>
                                <w:bCs/>
                                <w:color w:val="000000"/>
                                <w:sz w:val="18"/>
                                <w:szCs w:val="14"/>
                              </w:rPr>
                              <w:t>a part de marché des véhicules électriques a également sensiblement diminué.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1AEFC" id="Rectangle 8" o:spid="_x0000_s1026" style="position:absolute;left:0;text-align:left;margin-left:154.9pt;margin-top:11.8pt;width:206.1pt;height:183.8pt;z-index:25165824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" fillcolor="white [3212]" strokecolor="#fbe769" strokeweight="3pt">
                <v:textbox>
                  <w:txbxContent>
                    <w:p w14:paraId="60F3D685" w14:textId="77777777" w:rsidR="000743ED" w:rsidRPr="000A6EBF" w:rsidRDefault="000743ED" w:rsidP="000743ED">
                      <w:pPr>
                        <w:spacing w:after="0" w:line="0" w:lineRule="atLeast"/>
                        <w:jc w:val="center"/>
                        <w:rPr>
                          <w:rFonts w:ascii="Marianne Medium" w:hAnsi="Marianne Medium" w:cs="Times New Roman (Corps CS)"/>
                          <w:bCs/>
                          <w:color w:val="000000"/>
                          <w:sz w:val="20"/>
                          <w:szCs w:val="16"/>
                        </w:rPr>
                      </w:pPr>
                      <w:r w:rsidRPr="000A6EBF">
                        <w:rPr>
                          <w:rFonts w:ascii="Marianne Medium" w:hAnsi="Marianne Medium" w:cs="Times New Roman (Corps CS)"/>
                          <w:bCs/>
                          <w:color w:val="000000"/>
                          <w:sz w:val="20"/>
                          <w:szCs w:val="16"/>
                        </w:rPr>
                        <w:t>LE CHIFFRE A RETENIR</w:t>
                      </w:r>
                    </w:p>
                    <w:p w14:paraId="05799479" w14:textId="773C71B2" w:rsidR="000743ED" w:rsidRPr="001C4351" w:rsidRDefault="00313754" w:rsidP="00313754">
                      <w:pPr>
                        <w:pStyle w:val="BREVESECOChiffre1"/>
                        <w:numPr>
                          <w:ilvl w:val="0"/>
                          <w:numId w:val="36"/>
                        </w:numPr>
                        <w:rPr>
                          <w:rFonts w:ascii="Marianne Light" w:hAnsi="Marianne Light"/>
                          <w:color w:val="6A6AF4" w:themeColor="text2"/>
                          <w:sz w:val="30"/>
                          <w:szCs w:val="24"/>
                        </w:rPr>
                      </w:pPr>
                      <w:r>
                        <w:rPr>
                          <w:color w:val="6A6AF4" w:themeColor="text2"/>
                        </w:rPr>
                        <w:t>30%</w:t>
                      </w:r>
                    </w:p>
                    <w:p w14:paraId="4C63B2A6" w14:textId="5AF89FCB" w:rsidR="00D30F6E" w:rsidRPr="00A262E1" w:rsidRDefault="00313754" w:rsidP="00966FE6">
                      <w:pPr>
                        <w:spacing w:after="0" w:line="0" w:lineRule="atLeast"/>
                        <w:jc w:val="both"/>
                        <w:rPr>
                          <w:color w:val="000000"/>
                          <w:sz w:val="24"/>
                          <w:szCs w:val="24"/>
                        </w:rPr>
                      </w:pPr>
                      <w:r w:rsidRPr="00313754">
                        <w:rPr>
                          <w:rFonts w:ascii="Marianne" w:hAnsi="Marianne" w:cs="Times New Roman (Corps CS)"/>
                          <w:bCs/>
                          <w:color w:val="000000"/>
                          <w:sz w:val="18"/>
                          <w:szCs w:val="14"/>
                        </w:rPr>
                        <w:t>Le secteur des voitures électriques en Allemagne perd son élan. Les nouvelles immatriculations ont chuté de près de 30 %</w:t>
                      </w:r>
                      <w:r>
                        <w:rPr>
                          <w:rFonts w:ascii="Marianne" w:hAnsi="Marianne" w:cs="Times New Roman (Corps CS)"/>
                          <w:bCs/>
                          <w:color w:val="000000"/>
                          <w:sz w:val="18"/>
                          <w:szCs w:val="14"/>
                        </w:rPr>
                        <w:t xml:space="preserve"> en Mars</w:t>
                      </w:r>
                      <w:r w:rsidR="00382F5F">
                        <w:rPr>
                          <w:rFonts w:ascii="Marianne" w:hAnsi="Marianne" w:cs="Times New Roman (Corps CS)"/>
                          <w:bCs/>
                          <w:color w:val="000000"/>
                          <w:sz w:val="18"/>
                          <w:szCs w:val="14"/>
                        </w:rPr>
                        <w:t xml:space="preserve"> par rapport à Mars 2023</w:t>
                      </w:r>
                      <w:r w:rsidRPr="00313754">
                        <w:rPr>
                          <w:rFonts w:ascii="Marianne" w:hAnsi="Marianne" w:cs="Times New Roman (Corps CS)"/>
                          <w:bCs/>
                          <w:color w:val="000000"/>
                          <w:sz w:val="18"/>
                          <w:szCs w:val="14"/>
                        </w:rPr>
                        <w:t xml:space="preserve">. </w:t>
                      </w:r>
                      <w:r w:rsidR="00382F5F">
                        <w:rPr>
                          <w:rFonts w:ascii="Marianne" w:hAnsi="Marianne" w:cs="Times New Roman (Corps CS)"/>
                          <w:bCs/>
                          <w:color w:val="000000"/>
                          <w:sz w:val="18"/>
                          <w:szCs w:val="14"/>
                        </w:rPr>
                        <w:t>L</w:t>
                      </w:r>
                      <w:r w:rsidRPr="00313754">
                        <w:rPr>
                          <w:rFonts w:ascii="Marianne" w:hAnsi="Marianne" w:cs="Times New Roman (Corps CS)"/>
                          <w:bCs/>
                          <w:color w:val="000000"/>
                          <w:sz w:val="18"/>
                          <w:szCs w:val="14"/>
                        </w:rPr>
                        <w:t>a part de marché des véhicules électriques a également sensiblement diminué.</w:t>
                      </w:r>
                    </w:p>
                  </w:txbxContent>
                </v:textbox>
              </v:rect>
            </w:pict>
          </mc:Fallback>
        </mc:AlternateContent>
      </w:r>
    </w:p>
    <w:p w14:paraId="466E738C" w14:textId="77777777" w:rsidR="00272B93" w:rsidRDefault="00272B93" w:rsidP="00AF77E1">
      <w:pPr>
        <w:pStyle w:val="Titre1"/>
      </w:pPr>
    </w:p>
    <w:p w14:paraId="080FEDF6" w14:textId="6628A186" w:rsidR="00272B93" w:rsidRDefault="00272B93" w:rsidP="00272B93"/>
    <w:p w14:paraId="3FC9837F" w14:textId="30C6759B" w:rsidR="00272B93" w:rsidRDefault="00272B93" w:rsidP="00272B93"/>
    <w:p w14:paraId="489A8650" w14:textId="158ECCC1" w:rsidR="00272B93" w:rsidRDefault="00272B93" w:rsidP="00272B93"/>
    <w:p w14:paraId="2251BC44" w14:textId="08D463E6" w:rsidR="00272B93" w:rsidRDefault="00272B93" w:rsidP="00272B93"/>
    <w:p w14:paraId="773E4CA4" w14:textId="77777777" w:rsidR="00D30F6E" w:rsidRDefault="00D30F6E" w:rsidP="00D30F6E"/>
    <w:p w14:paraId="07CEDA3E" w14:textId="77777777" w:rsidR="0074242F" w:rsidRPr="00D30F6E" w:rsidRDefault="0074242F" w:rsidP="00D30F6E"/>
    <w:p w14:paraId="0DDCA439" w14:textId="2DAD743A" w:rsidR="00F76BAA" w:rsidRPr="00F319CC" w:rsidRDefault="003E0A4E" w:rsidP="00AF77E1">
      <w:pPr>
        <w:pStyle w:val="Titre1"/>
      </w:pPr>
      <w:bookmarkStart w:id="9" w:name="_Toc163229038"/>
      <w:bookmarkStart w:id="10" w:name="_Toc163480885"/>
      <w:bookmarkStart w:id="11" w:name="_Toc163572706"/>
      <w:r w:rsidRPr="00F319CC">
        <w:t xml:space="preserve">Transition Ecologique </w:t>
      </w:r>
      <w:r w:rsidR="001C2E06" w:rsidRPr="00F319CC">
        <w:t xml:space="preserve">&amp; </w:t>
      </w:r>
      <w:r w:rsidRPr="00F319CC">
        <w:t>Energétique</w:t>
      </w:r>
      <w:bookmarkEnd w:id="3"/>
      <w:bookmarkEnd w:id="4"/>
      <w:bookmarkEnd w:id="5"/>
      <w:bookmarkEnd w:id="6"/>
      <w:bookmarkEnd w:id="7"/>
      <w:bookmarkEnd w:id="8"/>
      <w:bookmarkEnd w:id="9"/>
      <w:bookmarkEnd w:id="10"/>
      <w:bookmarkEnd w:id="11"/>
    </w:p>
    <w:p w14:paraId="114F80B0" w14:textId="21CCE486" w:rsidR="00F76BAA" w:rsidRPr="004841DC" w:rsidRDefault="00F76BAA" w:rsidP="00AF77E1">
      <w:pPr>
        <w:pStyle w:val="Ttitre03"/>
      </w:pPr>
      <w:bookmarkStart w:id="12" w:name="_Toc163229039"/>
      <w:bookmarkStart w:id="13" w:name="_Toc163480886"/>
      <w:bookmarkStart w:id="14" w:name="_Toc163572707"/>
      <w:r w:rsidRPr="004841DC">
        <w:t>1</w:t>
      </w:r>
      <w:r w:rsidRPr="004841DC">
        <w:rPr>
          <w:rFonts w:cs="Calibri"/>
        </w:rPr>
        <w:t xml:space="preserve">. </w:t>
      </w:r>
      <w:r w:rsidR="008E5BC1">
        <w:rPr>
          <w:rFonts w:cs="Calibri"/>
        </w:rPr>
        <w:t>CCfD</w:t>
      </w:r>
      <w:r w:rsidR="008E5BC1">
        <w:rPr>
          <w:rFonts w:ascii="Calibri" w:hAnsi="Calibri" w:cs="Calibri"/>
        </w:rPr>
        <w:t> </w:t>
      </w:r>
      <w:r w:rsidR="008E5BC1">
        <w:rPr>
          <w:rFonts w:cs="Calibri"/>
        </w:rPr>
        <w:t>: Lancement des premiers appels d’offres</w:t>
      </w:r>
      <w:bookmarkEnd w:id="12"/>
      <w:bookmarkEnd w:id="13"/>
      <w:bookmarkEnd w:id="14"/>
    </w:p>
    <w:p w14:paraId="3F7C9F25" w14:textId="6E0E905E" w:rsidR="003872CE" w:rsidRDefault="008E5BC1" w:rsidP="004841DC">
      <w:pPr>
        <w:pStyle w:val="BREVESECOTextecourant1"/>
        <w:spacing w:before="120"/>
        <w:ind w:left="0" w:right="0"/>
        <w:jc w:val="both"/>
        <w:rPr>
          <w:lang w:val="fr-FR"/>
        </w:rPr>
      </w:pPr>
      <w:bookmarkStart w:id="15" w:name="_Toc148091940"/>
      <w:bookmarkStart w:id="16" w:name="_Toc148092150"/>
      <w:bookmarkStart w:id="17" w:name="_Toc148092191"/>
      <w:r w:rsidRPr="00E25D77">
        <w:rPr>
          <w:lang w:val="fr-FR"/>
        </w:rPr>
        <w:t xml:space="preserve">Le Ministère fédéral de l’Economie et de la Protection du Climat (BMWK) a annoncé le 12 mars 2024 le lancement de la première procédure d’appel d’offres du programme de soutien pour la décarbonation de l’industrie </w:t>
      </w:r>
      <w:r w:rsidRPr="00281D5C">
        <w:rPr>
          <w:i/>
          <w:iCs/>
          <w:lang w:val="fr-FR"/>
        </w:rPr>
        <w:t>via</w:t>
      </w:r>
      <w:r w:rsidRPr="00E25D77">
        <w:rPr>
          <w:lang w:val="fr-FR"/>
        </w:rPr>
        <w:t xml:space="preserve"> les contrats pour la protection du climat (dispositif </w:t>
      </w:r>
      <w:r w:rsidRPr="00281D5C">
        <w:rPr>
          <w:i/>
          <w:iCs/>
          <w:lang w:val="fr-FR"/>
        </w:rPr>
        <w:t>Carbon Contract for Difference</w:t>
      </w:r>
      <w:r w:rsidRPr="00E25D77">
        <w:rPr>
          <w:lang w:val="fr-FR"/>
        </w:rPr>
        <w:t xml:space="preserve"> (CCfD)/</w:t>
      </w:r>
      <w:r w:rsidRPr="00281D5C">
        <w:rPr>
          <w:i/>
          <w:iCs/>
          <w:lang w:val="fr-FR"/>
        </w:rPr>
        <w:t>Klimaschutzverträge</w:t>
      </w:r>
      <w:r w:rsidRPr="00E25D77">
        <w:rPr>
          <w:lang w:val="fr-FR"/>
        </w:rPr>
        <w:t xml:space="preserve">). </w:t>
      </w:r>
      <w:r>
        <w:rPr>
          <w:lang w:val="fr-FR"/>
        </w:rPr>
        <w:t xml:space="preserve">Quatre séries d’appel d’offres sont prévus. </w:t>
      </w:r>
      <w:r w:rsidRPr="00E25D77">
        <w:rPr>
          <w:lang w:val="fr-FR"/>
        </w:rPr>
        <w:t xml:space="preserve">Le montant total pour le </w:t>
      </w:r>
      <w:r>
        <w:rPr>
          <w:lang w:val="fr-FR"/>
        </w:rPr>
        <w:t>premier</w:t>
      </w:r>
      <w:r w:rsidRPr="00E25D77">
        <w:rPr>
          <w:lang w:val="fr-FR"/>
        </w:rPr>
        <w:t xml:space="preserve"> appel d’offres s’élève à 4 Md€</w:t>
      </w:r>
      <w:r>
        <w:rPr>
          <w:lang w:val="fr-FR"/>
        </w:rPr>
        <w:t xml:space="preserve"> (issus du Fonds </w:t>
      </w:r>
      <w:r>
        <w:rPr>
          <w:lang w:val="fr-FR"/>
        </w:rPr>
        <w:t>pour le Climat et la Transformation). Une deuxième série d’appel d’offres, pour laquelle 19 Md</w:t>
      </w:r>
      <w:r w:rsidRPr="00AF544C">
        <w:rPr>
          <w:lang w:val="fr-FR"/>
        </w:rPr>
        <w:t>€ sont inscrits au budget en tant que c</w:t>
      </w:r>
      <w:r>
        <w:rPr>
          <w:lang w:val="fr-FR"/>
        </w:rPr>
        <w:t>ré</w:t>
      </w:r>
      <w:r w:rsidRPr="00AF544C">
        <w:rPr>
          <w:lang w:val="fr-FR"/>
        </w:rPr>
        <w:t>dits d’engagement, devrait être lancée à l’automne 2024.</w:t>
      </w:r>
      <w:r w:rsidRPr="00B13474">
        <w:rPr>
          <w:lang w:val="fr-FR"/>
        </w:rPr>
        <w:t xml:space="preserve"> </w:t>
      </w:r>
      <w:r w:rsidRPr="00281D5C">
        <w:rPr>
          <w:lang w:val="fr-FR"/>
        </w:rPr>
        <w:t>Les troisième et quatrième série</w:t>
      </w:r>
      <w:r>
        <w:rPr>
          <w:lang w:val="fr-FR"/>
        </w:rPr>
        <w:t>s</w:t>
      </w:r>
      <w:r w:rsidRPr="00281D5C">
        <w:rPr>
          <w:lang w:val="fr-FR"/>
        </w:rPr>
        <w:t xml:space="preserve"> </w:t>
      </w:r>
      <w:r>
        <w:rPr>
          <w:lang w:val="fr-FR"/>
        </w:rPr>
        <w:t>seraient</w:t>
      </w:r>
      <w:r w:rsidRPr="00281D5C">
        <w:rPr>
          <w:lang w:val="fr-FR"/>
        </w:rPr>
        <w:t xml:space="preserve"> prévues en 2025, avant les prochaines élections fédérales.</w:t>
      </w:r>
      <w:r>
        <w:rPr>
          <w:lang w:val="fr-FR"/>
        </w:rPr>
        <w:t xml:space="preserve"> </w:t>
      </w:r>
      <w:r w:rsidRPr="00AF544C">
        <w:rPr>
          <w:lang w:val="fr-FR"/>
        </w:rPr>
        <w:t>Le programme de</w:t>
      </w:r>
      <w:r>
        <w:rPr>
          <w:lang w:val="fr-FR"/>
        </w:rPr>
        <w:t xml:space="preserve"> </w:t>
      </w:r>
      <w:r w:rsidRPr="00AF544C">
        <w:rPr>
          <w:lang w:val="fr-FR"/>
        </w:rPr>
        <w:t>soutien est destin</w:t>
      </w:r>
      <w:r>
        <w:rPr>
          <w:lang w:val="fr-FR"/>
        </w:rPr>
        <w:t>é</w:t>
      </w:r>
      <w:r w:rsidRPr="00AF544C">
        <w:rPr>
          <w:lang w:val="fr-FR"/>
        </w:rPr>
        <w:t xml:space="preserve"> à l’industrie des matériaux de base très émettrice. Le principe de ces contrats est d’inciter aux investissements dans la décarbonation, en garantissant aux industriels un certain prix par tonne de CO</w:t>
      </w:r>
      <w:r w:rsidRPr="00AF544C">
        <w:rPr>
          <w:vertAlign w:val="subscript"/>
          <w:lang w:val="fr-FR"/>
        </w:rPr>
        <w:t>2</w:t>
      </w:r>
      <w:r w:rsidRPr="00AF544C">
        <w:rPr>
          <w:lang w:val="fr-FR"/>
        </w:rPr>
        <w:t xml:space="preserve"> évitée. Les CCfD devront impulser la décarbonation notamment des industries de la chimie, de l’acier, du ciment, du papier ou encore du verre. Les entreprises de l'industrie à forte consommation d'énergie (privées ou publiques) qui ont participé avec succès à la procédure préparatoire durant l'été 2023 peuvent postuler dans les quatre prochains mois pour obtenir un financement de 15 ans pour leurs grands projets de transformation. Les projets industriels devront présenter un objectif de réduction de -60 % des émissions de gaz à effet de serre (GES) au plus tard 3 ans après le démarrage. </w:t>
      </w:r>
      <w:r>
        <w:rPr>
          <w:lang w:val="fr-FR"/>
        </w:rPr>
        <w:t xml:space="preserve">L’activité sous-jacente doit être éligible au système ETS européen. </w:t>
      </w:r>
      <w:r w:rsidRPr="00AF544C">
        <w:rPr>
          <w:lang w:val="fr-FR"/>
        </w:rPr>
        <w:t>Les montants accordés sont déterminés par un mécanisme d’enchères avec des allotissements possibles par secteurs ou technologies sur la base du prix de rentabilité déclaré par l’industriel</w:t>
      </w:r>
      <w:r w:rsidR="00323EBD">
        <w:rPr>
          <w:lang w:val="fr-FR"/>
        </w:rPr>
        <w:t xml:space="preserve"> (</w:t>
      </w:r>
      <w:hyperlink r:id="rId13" w:history="1">
        <w:r w:rsidR="00323EBD" w:rsidRPr="00323EBD">
          <w:rPr>
            <w:rStyle w:val="Lienhypertexte"/>
            <w:lang w:val="fr-FR"/>
          </w:rPr>
          <w:t>lien</w:t>
        </w:r>
      </w:hyperlink>
      <w:r w:rsidR="00323EBD">
        <w:rPr>
          <w:lang w:val="fr-FR"/>
        </w:rPr>
        <w:t>)</w:t>
      </w:r>
      <w:r w:rsidRPr="00AF544C">
        <w:rPr>
          <w:lang w:val="fr-FR"/>
        </w:rPr>
        <w:t>.</w:t>
      </w:r>
    </w:p>
    <w:p w14:paraId="0CA33490" w14:textId="28663CC7" w:rsidR="004841DC" w:rsidRPr="004841DC" w:rsidRDefault="004841DC" w:rsidP="00AA40A0">
      <w:pPr>
        <w:pStyle w:val="Ttitre03"/>
        <w:jc w:val="both"/>
      </w:pPr>
      <w:bookmarkStart w:id="18" w:name="_Toc163229040"/>
      <w:bookmarkStart w:id="19" w:name="_Toc163480887"/>
      <w:bookmarkStart w:id="20" w:name="_Toc163572708"/>
      <w:bookmarkStart w:id="21" w:name="_Toc148091893"/>
      <w:bookmarkStart w:id="22" w:name="_Toc148091919"/>
      <w:bookmarkStart w:id="23" w:name="_Toc148091942"/>
      <w:bookmarkStart w:id="24" w:name="_Toc148092152"/>
      <w:bookmarkStart w:id="25" w:name="_Toc148092193"/>
      <w:bookmarkEnd w:id="15"/>
      <w:bookmarkEnd w:id="16"/>
      <w:bookmarkEnd w:id="17"/>
      <w:r w:rsidRPr="004841DC">
        <w:lastRenderedPageBreak/>
        <w:t>2.</w:t>
      </w:r>
      <w:r w:rsidR="001A678C">
        <w:t xml:space="preserve"> </w:t>
      </w:r>
      <w:r w:rsidR="001A678C">
        <w:rPr>
          <w:rFonts w:cs="Calibri"/>
        </w:rPr>
        <w:t>Cour des comptes</w:t>
      </w:r>
      <w:r w:rsidR="001A678C">
        <w:rPr>
          <w:rFonts w:ascii="Calibri" w:hAnsi="Calibri" w:cs="Calibri"/>
        </w:rPr>
        <w:t> </w:t>
      </w:r>
      <w:r w:rsidR="001A678C">
        <w:rPr>
          <w:rFonts w:cs="Calibri"/>
        </w:rPr>
        <w:t xml:space="preserve">: rapport critique sur la mise en œuvre de la transition énergétique en </w:t>
      </w:r>
      <w:r w:rsidR="00445120">
        <w:rPr>
          <w:rFonts w:cs="Calibri"/>
        </w:rPr>
        <w:t>Allemagne</w:t>
      </w:r>
      <w:bookmarkEnd w:id="18"/>
      <w:bookmarkEnd w:id="19"/>
      <w:bookmarkEnd w:id="20"/>
      <w:r w:rsidR="00445120">
        <w:rPr>
          <w:rFonts w:cs="Calibri"/>
        </w:rPr>
        <w:t xml:space="preserve"> </w:t>
      </w:r>
    </w:p>
    <w:p w14:paraId="5F1ADBC0" w14:textId="6213968E" w:rsidR="003872CE" w:rsidRDefault="001A678C" w:rsidP="003872CE">
      <w:pPr>
        <w:pStyle w:val="BREVESECOTextecourant1"/>
        <w:spacing w:before="120"/>
        <w:ind w:left="0" w:right="0"/>
        <w:jc w:val="both"/>
        <w:rPr>
          <w:lang w:val="fr-FR"/>
        </w:rPr>
      </w:pPr>
      <w:r>
        <w:rPr>
          <w:lang w:val="fr-FR"/>
        </w:rPr>
        <w:t xml:space="preserve">Le 7 mars 2024, la Cour </w:t>
      </w:r>
      <w:r w:rsidR="005B0311">
        <w:rPr>
          <w:lang w:val="fr-FR"/>
        </w:rPr>
        <w:t xml:space="preserve">fédérale </w:t>
      </w:r>
      <w:r>
        <w:rPr>
          <w:lang w:val="fr-FR"/>
        </w:rPr>
        <w:t>des comptes (</w:t>
      </w:r>
      <w:r w:rsidRPr="00B96210">
        <w:rPr>
          <w:i/>
          <w:iCs/>
          <w:lang w:val="fr-FR"/>
        </w:rPr>
        <w:t>Bundesrechnungshof</w:t>
      </w:r>
      <w:r>
        <w:rPr>
          <w:lang w:val="fr-FR"/>
        </w:rPr>
        <w:t>) a publié un rapport sur la mise en œuvre de la transition énergétique en Allemagne. Ce document, très critique, souligne que la transition énergétique ne serait pas sur la bonne voie</w:t>
      </w:r>
      <w:r w:rsidR="002E70CD">
        <w:rPr>
          <w:lang w:val="fr-FR"/>
        </w:rPr>
        <w:t xml:space="preserve"> dans le pays</w:t>
      </w:r>
      <w:r>
        <w:rPr>
          <w:lang w:val="fr-FR"/>
        </w:rPr>
        <w:t xml:space="preserve"> et ce constat se serait aggravé depuis le dernier rapport datant de 2021. La sécurité d’approvisionnement serait menacée, selon l’institution, l’électricité trop onéreuse et les effets de la transition énergétique sur l’environnement ne seraient pas suffisamment mesurés dans leur </w:t>
      </w:r>
      <w:r w:rsidR="004368D9">
        <w:rPr>
          <w:lang w:val="fr-FR"/>
        </w:rPr>
        <w:t>globalité</w:t>
      </w:r>
      <w:r>
        <w:rPr>
          <w:lang w:val="fr-FR"/>
        </w:rPr>
        <w:t>. Sur le rythme développement des énergies renouvelables, la Cour des comptes souligne que l’éolien terrestre n’atteindra sans doute pas ses objectifs de développement (objectif 2030</w:t>
      </w:r>
      <w:r>
        <w:rPr>
          <w:rFonts w:ascii="Calibri" w:hAnsi="Calibri" w:cs="Calibri"/>
          <w:lang w:val="fr-FR"/>
        </w:rPr>
        <w:t> </w:t>
      </w:r>
      <w:r>
        <w:rPr>
          <w:lang w:val="fr-FR"/>
        </w:rPr>
        <w:t>: 115</w:t>
      </w:r>
      <w:r w:rsidR="00DB1FE7">
        <w:rPr>
          <w:rFonts w:ascii="Calibri" w:hAnsi="Calibri" w:cs="Calibri"/>
          <w:lang w:val="fr-FR"/>
        </w:rPr>
        <w:t> </w:t>
      </w:r>
      <w:r>
        <w:rPr>
          <w:lang w:val="fr-FR"/>
        </w:rPr>
        <w:t xml:space="preserve">GW installés, contre environ </w:t>
      </w:r>
      <w:r w:rsidR="00290584">
        <w:rPr>
          <w:lang w:val="fr-FR"/>
        </w:rPr>
        <w:t>61</w:t>
      </w:r>
      <w:r>
        <w:rPr>
          <w:rFonts w:ascii="Calibri" w:hAnsi="Calibri" w:cs="Calibri"/>
          <w:lang w:val="fr-FR"/>
        </w:rPr>
        <w:t> </w:t>
      </w:r>
      <w:r>
        <w:rPr>
          <w:lang w:val="fr-FR"/>
        </w:rPr>
        <w:t>GW installés fin 2023)</w:t>
      </w:r>
      <w:r w:rsidR="00DB1FE7">
        <w:rPr>
          <w:lang w:val="fr-FR"/>
        </w:rPr>
        <w:t xml:space="preserve"> et</w:t>
      </w:r>
      <w:r>
        <w:rPr>
          <w:lang w:val="fr-FR"/>
        </w:rPr>
        <w:t xml:space="preserve"> que l’extension du réseau a pris un retard considérable. La Cour des comptes s’inquiète également du manque de puissance «</w:t>
      </w:r>
      <w:r>
        <w:rPr>
          <w:rFonts w:ascii="Calibri" w:hAnsi="Calibri" w:cs="Calibri"/>
          <w:lang w:val="fr-FR"/>
        </w:rPr>
        <w:t> </w:t>
      </w:r>
      <w:r>
        <w:rPr>
          <w:lang w:val="fr-FR"/>
        </w:rPr>
        <w:t>pilotable</w:t>
      </w:r>
      <w:r>
        <w:rPr>
          <w:rFonts w:ascii="Calibri" w:hAnsi="Calibri" w:cs="Calibri"/>
          <w:lang w:val="fr-FR"/>
        </w:rPr>
        <w:t> </w:t>
      </w:r>
      <w:r>
        <w:rPr>
          <w:rFonts w:cs="Marianne Light"/>
          <w:lang w:val="fr-FR"/>
        </w:rPr>
        <w:t>» et garantie</w:t>
      </w:r>
      <w:r>
        <w:rPr>
          <w:lang w:val="fr-FR"/>
        </w:rPr>
        <w:t xml:space="preserve"> sur le réseau. Suite à la publication du rapport, le Ministre fédéral allemand de l’Économie et de la Protection du Climat, R. Habeck a réagi vivement</w:t>
      </w:r>
      <w:r>
        <w:rPr>
          <w:rFonts w:ascii="Calibri" w:hAnsi="Calibri" w:cs="Calibri"/>
          <w:lang w:val="fr-FR"/>
        </w:rPr>
        <w:t> </w:t>
      </w:r>
      <w:r>
        <w:rPr>
          <w:lang w:val="fr-FR"/>
        </w:rPr>
        <w:t>: «</w:t>
      </w:r>
      <w:r w:rsidRPr="00F57C71">
        <w:rPr>
          <w:rFonts w:ascii="Calibri" w:hAnsi="Calibri" w:cs="Calibri"/>
          <w:lang w:val="fr-FR"/>
        </w:rPr>
        <w:t> </w:t>
      </w:r>
      <w:r w:rsidRPr="00F57C71">
        <w:rPr>
          <w:i/>
          <w:iCs/>
          <w:lang w:val="fr-FR"/>
        </w:rPr>
        <w:t xml:space="preserve">Je ne dis pas que nous sommes </w:t>
      </w:r>
      <w:r>
        <w:rPr>
          <w:i/>
          <w:iCs/>
          <w:lang w:val="fr-FR"/>
        </w:rPr>
        <w:t>parvenus</w:t>
      </w:r>
      <w:r w:rsidRPr="00F57C71">
        <w:rPr>
          <w:i/>
          <w:iCs/>
          <w:lang w:val="fr-FR"/>
        </w:rPr>
        <w:t xml:space="preserve"> à no</w:t>
      </w:r>
      <w:r>
        <w:rPr>
          <w:i/>
          <w:iCs/>
          <w:lang w:val="fr-FR"/>
        </w:rPr>
        <w:t>s</w:t>
      </w:r>
      <w:r w:rsidRPr="00F57C71">
        <w:rPr>
          <w:i/>
          <w:iCs/>
          <w:lang w:val="fr-FR"/>
        </w:rPr>
        <w:t xml:space="preserve"> objectif</w:t>
      </w:r>
      <w:r>
        <w:rPr>
          <w:i/>
          <w:iCs/>
          <w:lang w:val="fr-FR"/>
        </w:rPr>
        <w:t>s</w:t>
      </w:r>
      <w:r w:rsidRPr="00F57C71">
        <w:rPr>
          <w:i/>
          <w:iCs/>
          <w:lang w:val="fr-FR"/>
        </w:rPr>
        <w:t>. Mais</w:t>
      </w:r>
      <w:r w:rsidR="0035745A">
        <w:rPr>
          <w:i/>
          <w:iCs/>
          <w:lang w:val="fr-FR"/>
        </w:rPr>
        <w:t>,</w:t>
      </w:r>
      <w:r w:rsidRPr="00F57C71">
        <w:rPr>
          <w:i/>
          <w:iCs/>
          <w:lang w:val="fr-FR"/>
        </w:rPr>
        <w:t xml:space="preserve"> dire que le gouvernement fédéral n'en fait pas assez </w:t>
      </w:r>
      <w:r w:rsidR="0035745A">
        <w:rPr>
          <w:i/>
          <w:iCs/>
          <w:lang w:val="fr-FR"/>
        </w:rPr>
        <w:t>[</w:t>
      </w:r>
      <w:r w:rsidRPr="00F57C71">
        <w:rPr>
          <w:i/>
          <w:iCs/>
          <w:lang w:val="fr-FR"/>
        </w:rPr>
        <w:t>...</w:t>
      </w:r>
      <w:r w:rsidR="0035745A">
        <w:rPr>
          <w:i/>
          <w:iCs/>
          <w:lang w:val="fr-FR"/>
        </w:rPr>
        <w:t>]</w:t>
      </w:r>
      <w:r w:rsidRPr="00F57C71">
        <w:rPr>
          <w:i/>
          <w:iCs/>
          <w:lang w:val="fr-FR"/>
        </w:rPr>
        <w:t>, c'est une perception étonnante qui n'a rien à voir avec la réalité</w:t>
      </w:r>
      <w:r w:rsidRPr="00F57C71">
        <w:rPr>
          <w:rFonts w:ascii="Calibri" w:hAnsi="Calibri" w:cs="Calibri"/>
          <w:lang w:val="fr-FR"/>
        </w:rPr>
        <w:t> </w:t>
      </w:r>
      <w:r w:rsidRPr="00F57C71">
        <w:rPr>
          <w:rFonts w:cs="Marianne Light"/>
          <w:lang w:val="fr-FR"/>
        </w:rPr>
        <w:t>»</w:t>
      </w:r>
      <w:r>
        <w:rPr>
          <w:lang w:val="fr-FR"/>
        </w:rPr>
        <w:t xml:space="preserve"> (Source</w:t>
      </w:r>
      <w:r w:rsidRPr="00F57C71">
        <w:rPr>
          <w:rFonts w:ascii="Calibri" w:hAnsi="Calibri" w:cs="Calibri"/>
          <w:lang w:val="fr-FR"/>
        </w:rPr>
        <w:t> </w:t>
      </w:r>
      <w:r w:rsidRPr="00F57C71">
        <w:rPr>
          <w:lang w:val="fr-FR"/>
        </w:rPr>
        <w:t xml:space="preserve">: </w:t>
      </w:r>
      <w:hyperlink r:id="rId14" w:history="1">
        <w:r w:rsidRPr="00F57C71">
          <w:rPr>
            <w:rStyle w:val="Lienhypertexte"/>
            <w:lang w:val="fr-FR"/>
          </w:rPr>
          <w:t>BRH</w:t>
        </w:r>
      </w:hyperlink>
      <w:r>
        <w:rPr>
          <w:lang w:val="fr-FR"/>
        </w:rPr>
        <w:t xml:space="preserve">, 2024). </w:t>
      </w:r>
    </w:p>
    <w:p w14:paraId="42D2D461" w14:textId="19746426" w:rsidR="004841DC" w:rsidRPr="005F08E5" w:rsidRDefault="00671525" w:rsidP="00AA40A0">
      <w:pPr>
        <w:pStyle w:val="Ttitre03"/>
        <w:jc w:val="both"/>
      </w:pPr>
      <w:bookmarkStart w:id="26" w:name="_Toc163229041"/>
      <w:bookmarkStart w:id="27" w:name="_Toc163480888"/>
      <w:bookmarkStart w:id="28" w:name="_Toc163572709"/>
      <w:r w:rsidRPr="005F08E5">
        <w:t>3</w:t>
      </w:r>
      <w:r w:rsidR="004841DC" w:rsidRPr="005F08E5">
        <w:t>.</w:t>
      </w:r>
      <w:r w:rsidR="00C238C3">
        <w:t xml:space="preserve"> Hydrogène</w:t>
      </w:r>
      <w:r w:rsidR="00C238C3">
        <w:rPr>
          <w:rFonts w:ascii="Calibri" w:hAnsi="Calibri" w:cs="Calibri"/>
        </w:rPr>
        <w:t> </w:t>
      </w:r>
      <w:r w:rsidR="00C238C3">
        <w:t>: Coopération renforcée entre l’Allemagne et la</w:t>
      </w:r>
      <w:r w:rsidR="00C238C3">
        <w:rPr>
          <w:rFonts w:ascii="Calibri" w:hAnsi="Calibri" w:cs="Calibri"/>
        </w:rPr>
        <w:t> </w:t>
      </w:r>
      <w:r w:rsidR="00C238C3">
        <w:t>Namibie</w:t>
      </w:r>
      <w:bookmarkEnd w:id="26"/>
      <w:bookmarkEnd w:id="27"/>
      <w:bookmarkEnd w:id="28"/>
    </w:p>
    <w:p w14:paraId="6A8A148C" w14:textId="4E0CD7B3" w:rsidR="003872CE" w:rsidRPr="00CD5828" w:rsidRDefault="00C238C3" w:rsidP="003872CE">
      <w:pPr>
        <w:pStyle w:val="BREVESECOTextecourant1"/>
        <w:spacing w:before="120"/>
        <w:ind w:left="0" w:right="0"/>
        <w:jc w:val="both"/>
        <w:rPr>
          <w:rFonts w:cs="Marianne Light"/>
          <w:lang w:val="fr-FR"/>
        </w:rPr>
      </w:pPr>
      <w:r>
        <w:rPr>
          <w:lang w:val="fr-FR"/>
        </w:rPr>
        <w:t xml:space="preserve">À l’occasion du </w:t>
      </w:r>
      <w:r w:rsidRPr="00742347">
        <w:rPr>
          <w:i/>
          <w:iCs/>
          <w:lang w:val="fr-FR"/>
        </w:rPr>
        <w:t>Berlin Energy Transition Dialog</w:t>
      </w:r>
      <w:r>
        <w:rPr>
          <w:i/>
          <w:iCs/>
          <w:lang w:val="fr-FR"/>
        </w:rPr>
        <w:t>ue</w:t>
      </w:r>
      <w:r>
        <w:rPr>
          <w:lang w:val="fr-FR"/>
        </w:rPr>
        <w:t>, organisé les 19 et 20 mars 2024, à Berlin, en présence du Ministre de l’Énergie namibien, Tom Alweendo, l’Allemagne et la Namibie ont scellé le renforcement de leur coopération, datant de 2022, dans le domaine de l’hydrogène et du power-to-x. Trois avancées ont notamment été conclues</w:t>
      </w:r>
      <w:r>
        <w:rPr>
          <w:rFonts w:ascii="Calibri" w:hAnsi="Calibri" w:cs="Calibri"/>
          <w:lang w:val="fr-FR"/>
        </w:rPr>
        <w:t> </w:t>
      </w:r>
      <w:r>
        <w:rPr>
          <w:lang w:val="fr-FR"/>
        </w:rPr>
        <w:t>: (1)</w:t>
      </w:r>
      <w:r w:rsidR="00F03C83" w:rsidRPr="00ED788D">
        <w:rPr>
          <w:rFonts w:ascii="Calibri" w:hAnsi="Calibri" w:cs="Calibri"/>
          <w:lang w:val="fr-FR"/>
        </w:rPr>
        <w:t> </w:t>
      </w:r>
      <w:r w:rsidR="00341877" w:rsidRPr="00ED788D">
        <w:rPr>
          <w:lang w:val="fr-FR"/>
        </w:rPr>
        <w:t>L’Allemagne s’engage à soutenir le</w:t>
      </w:r>
      <w:r w:rsidRPr="00ED788D">
        <w:rPr>
          <w:lang w:val="fr-FR"/>
        </w:rPr>
        <w:t xml:space="preserve"> «</w:t>
      </w:r>
      <w:r w:rsidRPr="00ED788D">
        <w:rPr>
          <w:rFonts w:ascii="Calibri" w:hAnsi="Calibri" w:cs="Calibri"/>
          <w:lang w:val="fr-FR"/>
        </w:rPr>
        <w:t> </w:t>
      </w:r>
      <w:r w:rsidR="00F03C83" w:rsidRPr="00ED788D">
        <w:rPr>
          <w:rFonts w:cs="Calibri"/>
          <w:i/>
          <w:iCs/>
          <w:lang w:val="fr-FR"/>
        </w:rPr>
        <w:t>G</w:t>
      </w:r>
      <w:r w:rsidRPr="00ED788D">
        <w:rPr>
          <w:i/>
          <w:iCs/>
          <w:lang w:val="fr-FR"/>
        </w:rPr>
        <w:t>reen</w:t>
      </w:r>
      <w:r w:rsidRPr="004B7807">
        <w:rPr>
          <w:i/>
          <w:iCs/>
          <w:lang w:val="fr-FR"/>
        </w:rPr>
        <w:t xml:space="preserve"> hydrogen Namibia pro</w:t>
      </w:r>
      <w:r w:rsidRPr="004B7807">
        <w:rPr>
          <w:i/>
          <w:iCs/>
          <w:lang w:val="fr-FR"/>
        </w:rPr>
        <w:t>gramme</w:t>
      </w:r>
      <w:r w:rsidRPr="004B7807">
        <w:rPr>
          <w:rFonts w:ascii="Calibri" w:hAnsi="Calibri" w:cs="Calibri"/>
          <w:i/>
          <w:iCs/>
          <w:lang w:val="fr-FR"/>
        </w:rPr>
        <w:t> </w:t>
      </w:r>
      <w:r>
        <w:rPr>
          <w:rFonts w:cs="Marianne Light"/>
          <w:lang w:val="fr-FR"/>
        </w:rPr>
        <w:t xml:space="preserve">», nouvelle organisation nationale en faveur de l’hydrogène </w:t>
      </w:r>
      <w:r w:rsidR="000A70FC">
        <w:rPr>
          <w:rFonts w:cs="Marianne Light"/>
          <w:lang w:val="fr-FR"/>
        </w:rPr>
        <w:t>«</w:t>
      </w:r>
      <w:r w:rsidR="000A70FC">
        <w:rPr>
          <w:rFonts w:ascii="Calibri" w:hAnsi="Calibri" w:cs="Calibri"/>
          <w:lang w:val="fr-FR"/>
        </w:rPr>
        <w:t> </w:t>
      </w:r>
      <w:r>
        <w:rPr>
          <w:rFonts w:cs="Marianne Light"/>
          <w:lang w:val="fr-FR"/>
        </w:rPr>
        <w:t>vert</w:t>
      </w:r>
      <w:r w:rsidR="000A70FC">
        <w:rPr>
          <w:rFonts w:ascii="Calibri" w:hAnsi="Calibri" w:cs="Calibri"/>
          <w:lang w:val="fr-FR"/>
        </w:rPr>
        <w:t> </w:t>
      </w:r>
      <w:r w:rsidR="000A70FC">
        <w:rPr>
          <w:rFonts w:cs="Marianne Light"/>
          <w:lang w:val="fr-FR"/>
        </w:rPr>
        <w:t>»</w:t>
      </w:r>
      <w:r>
        <w:rPr>
          <w:rFonts w:ascii="Calibri" w:hAnsi="Calibri" w:cs="Calibri"/>
          <w:lang w:val="fr-FR"/>
        </w:rPr>
        <w:t> </w:t>
      </w:r>
      <w:r>
        <w:rPr>
          <w:rFonts w:cs="Marianne Light"/>
          <w:lang w:val="fr-FR"/>
        </w:rPr>
        <w:t>; (2)</w:t>
      </w:r>
      <w:r w:rsidR="00F03C83" w:rsidRPr="00ED788D">
        <w:rPr>
          <w:rFonts w:ascii="Calibri" w:hAnsi="Calibri" w:cs="Calibri"/>
          <w:lang w:val="fr-FR"/>
        </w:rPr>
        <w:t> </w:t>
      </w:r>
      <w:r>
        <w:rPr>
          <w:rFonts w:cs="Marianne Light"/>
          <w:lang w:val="fr-FR"/>
        </w:rPr>
        <w:t xml:space="preserve">Un partenariat administratif est prévu </w:t>
      </w:r>
      <w:r w:rsidR="00702004" w:rsidRPr="00ED788D">
        <w:rPr>
          <w:rFonts w:cs="Marianne Light"/>
          <w:lang w:val="fr-FR"/>
        </w:rPr>
        <w:t>entre l’Allemagne et</w:t>
      </w:r>
      <w:r>
        <w:rPr>
          <w:rFonts w:cs="Marianne Light"/>
          <w:lang w:val="fr-FR"/>
        </w:rPr>
        <w:t xml:space="preserve"> la Namibie afin d’établir des «</w:t>
      </w:r>
      <w:r w:rsidRPr="004B7807">
        <w:rPr>
          <w:rFonts w:ascii="Calibri" w:hAnsi="Calibri" w:cs="Calibri"/>
          <w:i/>
          <w:iCs/>
          <w:lang w:val="fr-FR"/>
        </w:rPr>
        <w:t> </w:t>
      </w:r>
      <w:r w:rsidRPr="004B7807">
        <w:rPr>
          <w:rFonts w:cs="Marianne Light"/>
          <w:i/>
          <w:iCs/>
          <w:lang w:val="fr-FR"/>
        </w:rPr>
        <w:t xml:space="preserve">normes techniques pour l’hydrogène vert ou […] fournir des conseils en matière de législation et de normes, </w:t>
      </w:r>
      <w:r w:rsidRPr="004B7807">
        <w:rPr>
          <w:i/>
          <w:iCs/>
          <w:lang w:val="fr-FR"/>
        </w:rPr>
        <w:t>ainsi qu’à former des spécialistes</w:t>
      </w:r>
      <w:r w:rsidRPr="009F6407">
        <w:rPr>
          <w:rFonts w:ascii="Calibri" w:hAnsi="Calibri" w:cs="Calibri"/>
          <w:lang w:val="fr-FR"/>
        </w:rPr>
        <w:t> </w:t>
      </w:r>
      <w:r w:rsidRPr="009F6407">
        <w:rPr>
          <w:rFonts w:cs="Marianne Light"/>
          <w:lang w:val="fr-FR"/>
        </w:rPr>
        <w:t>»</w:t>
      </w:r>
      <w:r>
        <w:rPr>
          <w:rFonts w:ascii="Calibri" w:hAnsi="Calibri" w:cs="Calibri"/>
          <w:lang w:val="fr-FR"/>
        </w:rPr>
        <w:t> </w:t>
      </w:r>
      <w:r>
        <w:rPr>
          <w:lang w:val="fr-FR"/>
        </w:rPr>
        <w:t>;</w:t>
      </w:r>
      <w:r w:rsidRPr="009F6407">
        <w:rPr>
          <w:lang w:val="fr-FR"/>
        </w:rPr>
        <w:t xml:space="preserve"> (3) </w:t>
      </w:r>
      <w:r>
        <w:rPr>
          <w:lang w:val="fr-FR"/>
        </w:rPr>
        <w:t xml:space="preserve">Le développeur de projets </w:t>
      </w:r>
      <w:r w:rsidRPr="009F6407">
        <w:rPr>
          <w:lang w:val="fr-FR"/>
        </w:rPr>
        <w:t>E</w:t>
      </w:r>
      <w:r w:rsidR="006F27BF">
        <w:rPr>
          <w:lang w:val="fr-FR"/>
        </w:rPr>
        <w:t>nertrag</w:t>
      </w:r>
      <w:r w:rsidRPr="009F6407">
        <w:rPr>
          <w:lang w:val="fr-FR"/>
        </w:rPr>
        <w:t xml:space="preserve"> s’est vu remettre par le </w:t>
      </w:r>
      <w:r>
        <w:rPr>
          <w:lang w:val="fr-FR"/>
        </w:rPr>
        <w:t>Ministère fédéral allemand de l’Économie et de la Protection du Climat (BMWK)</w:t>
      </w:r>
      <w:r w:rsidRPr="009F6407">
        <w:rPr>
          <w:lang w:val="fr-FR"/>
        </w:rPr>
        <w:t xml:space="preserve"> une lettre de soutien pour le projet «</w:t>
      </w:r>
      <w:r w:rsidRPr="009F6407">
        <w:rPr>
          <w:rFonts w:ascii="Calibri" w:hAnsi="Calibri" w:cs="Calibri"/>
          <w:lang w:val="fr-FR"/>
        </w:rPr>
        <w:t> </w:t>
      </w:r>
      <w:r w:rsidRPr="009F6407">
        <w:rPr>
          <w:lang w:val="fr-FR"/>
        </w:rPr>
        <w:t>Hyphen</w:t>
      </w:r>
      <w:r w:rsidRPr="009F6407">
        <w:rPr>
          <w:rFonts w:ascii="Calibri" w:hAnsi="Calibri" w:cs="Calibri"/>
          <w:lang w:val="fr-FR"/>
        </w:rPr>
        <w:t> </w:t>
      </w:r>
      <w:r w:rsidRPr="009F6407">
        <w:rPr>
          <w:rFonts w:cs="Marianne Light"/>
          <w:lang w:val="fr-FR"/>
        </w:rPr>
        <w:t>»</w:t>
      </w:r>
      <w:r>
        <w:rPr>
          <w:rFonts w:cs="Marianne Light"/>
          <w:lang w:val="fr-FR"/>
        </w:rPr>
        <w:t>, en Nambie visant la production de 2</w:t>
      </w:r>
      <w:r>
        <w:rPr>
          <w:rFonts w:ascii="Calibri" w:hAnsi="Calibri" w:cs="Calibri"/>
          <w:lang w:val="fr-FR"/>
        </w:rPr>
        <w:t> </w:t>
      </w:r>
      <w:r>
        <w:rPr>
          <w:rFonts w:cs="Marianne Light"/>
          <w:lang w:val="fr-FR"/>
        </w:rPr>
        <w:t xml:space="preserve">Mio. de tonnes d’ammoniac </w:t>
      </w:r>
      <w:r w:rsidR="00F03C83" w:rsidRPr="00ED788D">
        <w:rPr>
          <w:rFonts w:cs="Marianne Light"/>
          <w:lang w:val="fr-FR"/>
        </w:rPr>
        <w:t>«</w:t>
      </w:r>
      <w:r w:rsidR="00F03C83" w:rsidRPr="00ED788D">
        <w:rPr>
          <w:rFonts w:ascii="Calibri" w:hAnsi="Calibri" w:cs="Calibri"/>
          <w:lang w:val="fr-FR"/>
        </w:rPr>
        <w:t> </w:t>
      </w:r>
      <w:r>
        <w:rPr>
          <w:rFonts w:cs="Marianne Light"/>
          <w:lang w:val="fr-FR"/>
        </w:rPr>
        <w:t>vert</w:t>
      </w:r>
      <w:r w:rsidR="00F03C83" w:rsidRPr="00ED788D">
        <w:rPr>
          <w:rFonts w:ascii="Calibri" w:hAnsi="Calibri" w:cs="Calibri"/>
          <w:lang w:val="fr-FR"/>
        </w:rPr>
        <w:t> </w:t>
      </w:r>
      <w:r w:rsidR="00F03C83" w:rsidRPr="00ED788D">
        <w:rPr>
          <w:rFonts w:cs="Marianne Light"/>
          <w:lang w:val="fr-FR"/>
        </w:rPr>
        <w:t>»</w:t>
      </w:r>
      <w:r>
        <w:rPr>
          <w:rFonts w:cs="Marianne Light"/>
          <w:lang w:val="fr-FR"/>
        </w:rPr>
        <w:t xml:space="preserve"> par an. Le BMWK souligne ainsi son intérêt pour ce projet, le plus important </w:t>
      </w:r>
      <w:r w:rsidR="000A70FC">
        <w:rPr>
          <w:rFonts w:cs="Marianne Light"/>
          <w:lang w:val="fr-FR"/>
        </w:rPr>
        <w:t>dans le secteur de l’hydrogène dans la région</w:t>
      </w:r>
      <w:r>
        <w:rPr>
          <w:rFonts w:cs="Marianne Light"/>
          <w:lang w:val="fr-FR"/>
        </w:rPr>
        <w:t>. Pour rappel, le gouvernement allemand planifie d’importer à l’avenir</w:t>
      </w:r>
      <w:r w:rsidR="00A73BB7">
        <w:rPr>
          <w:rFonts w:cs="Marianne Light"/>
          <w:lang w:val="fr-FR"/>
        </w:rPr>
        <w:t xml:space="preserve"> environ</w:t>
      </w:r>
      <w:r>
        <w:rPr>
          <w:rFonts w:cs="Marianne Light"/>
          <w:lang w:val="fr-FR"/>
        </w:rPr>
        <w:t xml:space="preserve"> deux tiers de ses besoins en hydrogène. </w:t>
      </w:r>
      <w:r w:rsidRPr="005A2487">
        <w:rPr>
          <w:lang w:val="fr-FR"/>
        </w:rPr>
        <w:t>(</w:t>
      </w:r>
      <w:r>
        <w:rPr>
          <w:lang w:val="fr-FR"/>
        </w:rPr>
        <w:t>Source</w:t>
      </w:r>
      <w:r>
        <w:rPr>
          <w:rFonts w:ascii="Calibri" w:hAnsi="Calibri" w:cs="Calibri"/>
          <w:lang w:val="fr-FR"/>
        </w:rPr>
        <w:t> </w:t>
      </w:r>
      <w:r>
        <w:rPr>
          <w:lang w:val="fr-FR"/>
        </w:rPr>
        <w:t xml:space="preserve">: </w:t>
      </w:r>
      <w:hyperlink r:id="rId15" w:history="1">
        <w:r w:rsidRPr="005A2487">
          <w:rPr>
            <w:rStyle w:val="Lienhypertexte"/>
            <w:lang w:val="fr-FR"/>
          </w:rPr>
          <w:t>BMWK</w:t>
        </w:r>
      </w:hyperlink>
      <w:r w:rsidR="00775030">
        <w:rPr>
          <w:lang w:val="fr-FR"/>
        </w:rPr>
        <w:t>)</w:t>
      </w:r>
    </w:p>
    <w:p w14:paraId="346D74A3" w14:textId="7BD5AC94" w:rsidR="000F6685" w:rsidRDefault="00BB2035" w:rsidP="00AF77E1">
      <w:pPr>
        <w:pStyle w:val="Ttitre03"/>
      </w:pPr>
      <w:bookmarkStart w:id="29" w:name="_Toc163229042"/>
      <w:bookmarkStart w:id="30" w:name="_Toc163480889"/>
      <w:bookmarkStart w:id="31" w:name="_Toc163572710"/>
      <w:r>
        <w:t>4</w:t>
      </w:r>
      <w:r w:rsidR="004841DC" w:rsidRPr="005F08E5">
        <w:t>.</w:t>
      </w:r>
      <w:bookmarkEnd w:id="29"/>
      <w:r w:rsidR="00D35875" w:rsidRPr="00D35875">
        <w:rPr>
          <w:rFonts w:cs="Calibri"/>
        </w:rPr>
        <w:t xml:space="preserve"> </w:t>
      </w:r>
      <w:r w:rsidR="00D35875">
        <w:rPr>
          <w:rFonts w:cs="Calibri"/>
        </w:rPr>
        <w:t>Emissions de gaz à effet de serre en Allemagne</w:t>
      </w:r>
      <w:r w:rsidR="00D35875">
        <w:rPr>
          <w:rFonts w:ascii="Calibri" w:hAnsi="Calibri" w:cs="Calibri"/>
        </w:rPr>
        <w:t> </w:t>
      </w:r>
      <w:r w:rsidR="00D35875">
        <w:rPr>
          <w:rFonts w:cs="Calibri"/>
        </w:rPr>
        <w:t>: publication de l’UBA pour l’année 2023</w:t>
      </w:r>
      <w:bookmarkEnd w:id="30"/>
      <w:bookmarkEnd w:id="31"/>
      <w:r w:rsidR="004841DC" w:rsidRPr="005F08E5">
        <w:tab/>
      </w:r>
    </w:p>
    <w:p w14:paraId="66FC5CEF" w14:textId="4C87E652" w:rsidR="000F6685" w:rsidRPr="000F6685" w:rsidRDefault="000F6685" w:rsidP="000F6685">
      <w:pPr>
        <w:pStyle w:val="BREVESECOTextecourant1"/>
        <w:spacing w:before="120"/>
        <w:ind w:left="0" w:right="0"/>
        <w:jc w:val="both"/>
        <w:rPr>
          <w:lang w:val="fr-FR"/>
        </w:rPr>
      </w:pPr>
      <w:r>
        <w:rPr>
          <w:lang w:val="fr-FR"/>
        </w:rPr>
        <w:t>L’Agence fédérale de l’environnement (UBA) a publié le 15 mars ses chiffres d’émissions de GES en 2023 (</w:t>
      </w:r>
      <w:hyperlink r:id="rId16" w:history="1">
        <w:r w:rsidRPr="000E5C0F">
          <w:rPr>
            <w:rStyle w:val="Lienhypertexte"/>
            <w:lang w:val="fr-FR"/>
          </w:rPr>
          <w:t>lien</w:t>
        </w:r>
      </w:hyperlink>
      <w:r>
        <w:rPr>
          <w:lang w:val="fr-FR"/>
        </w:rPr>
        <w:t xml:space="preserve">), rejoignant en grande partie les estimations d’Agora Energiewende du 4 janvier. Les émissions de l’Allemagne ont ainsi diminué de 10,1 % sur l’année 2023 par rapport à 2022, soit -76 </w:t>
      </w:r>
      <w:r w:rsidRPr="00F751C1">
        <w:rPr>
          <w:lang w:val="fr-FR"/>
        </w:rPr>
        <w:t>MtCO</w:t>
      </w:r>
      <w:r w:rsidRPr="00F751C1">
        <w:rPr>
          <w:vertAlign w:val="subscript"/>
          <w:lang w:val="fr-FR"/>
        </w:rPr>
        <w:t>2</w:t>
      </w:r>
      <w:r w:rsidRPr="00F751C1">
        <w:rPr>
          <w:lang w:val="fr-FR"/>
        </w:rPr>
        <w:t>e,</w:t>
      </w:r>
      <w:r>
        <w:rPr>
          <w:lang w:val="fr-FR"/>
        </w:rPr>
        <w:t xml:space="preserve"> </w:t>
      </w:r>
      <w:r w:rsidRPr="00F751C1">
        <w:rPr>
          <w:lang w:val="fr-FR"/>
        </w:rPr>
        <w:t>s’élevant désormais à 674MtCO</w:t>
      </w:r>
      <w:r w:rsidRPr="00F751C1">
        <w:rPr>
          <w:vertAlign w:val="subscript"/>
          <w:lang w:val="fr-FR"/>
        </w:rPr>
        <w:t>2</w:t>
      </w:r>
      <w:r w:rsidRPr="00F751C1">
        <w:rPr>
          <w:lang w:val="fr-FR"/>
        </w:rPr>
        <w:t xml:space="preserve">e </w:t>
      </w:r>
      <w:r>
        <w:rPr>
          <w:lang w:val="fr-FR"/>
        </w:rPr>
        <w:t xml:space="preserve">en </w:t>
      </w:r>
      <w:r w:rsidRPr="00F751C1">
        <w:rPr>
          <w:lang w:val="fr-FR"/>
        </w:rPr>
        <w:t>2023</w:t>
      </w:r>
      <w:r>
        <w:rPr>
          <w:lang w:val="fr-FR"/>
        </w:rPr>
        <w:t xml:space="preserve"> (la plus forte baisse depuis 1990). </w:t>
      </w:r>
      <w:r w:rsidRPr="00614C3B">
        <w:rPr>
          <w:lang w:val="fr-FR"/>
        </w:rPr>
        <w:t>Cette baisse résulte</w:t>
      </w:r>
      <w:r>
        <w:rPr>
          <w:lang w:val="fr-FR"/>
        </w:rPr>
        <w:t xml:space="preserve"> à la fois du développement des énergies renouvelables, mais aussi de la baisse de production d’électricité à partir de charbon et de la baisse de la production industrielle. Selon l’UBA, l’Allemagne est en bonne voie pour atteindre ses objectifs climatiques en 2030 (-65 % par rapport à 1990). Dans le secteur de l’énergie, les émissions de GES en 2023 ont diminué de 51,8 </w:t>
      </w:r>
      <w:r w:rsidRPr="00F751C1">
        <w:rPr>
          <w:lang w:val="fr-FR"/>
        </w:rPr>
        <w:t>MtCO</w:t>
      </w:r>
      <w:r w:rsidRPr="00F751C1">
        <w:rPr>
          <w:vertAlign w:val="subscript"/>
          <w:lang w:val="fr-FR"/>
        </w:rPr>
        <w:t>2</w:t>
      </w:r>
      <w:r w:rsidRPr="00F751C1">
        <w:rPr>
          <w:lang w:val="fr-FR"/>
        </w:rPr>
        <w:t>e</w:t>
      </w:r>
      <w:r>
        <w:rPr>
          <w:lang w:val="fr-FR"/>
        </w:rPr>
        <w:t xml:space="preserve"> (-20,1 %), </w:t>
      </w:r>
      <w:r w:rsidRPr="00183C32">
        <w:rPr>
          <w:lang w:val="fr-FR"/>
        </w:rPr>
        <w:t>en raison d’une moindre consommation du charbon.</w:t>
      </w:r>
      <w:r>
        <w:rPr>
          <w:lang w:val="fr-FR"/>
        </w:rPr>
        <w:t xml:space="preserve"> </w:t>
      </w:r>
      <w:r w:rsidRPr="002E1140">
        <w:rPr>
          <w:lang w:val="fr-FR"/>
        </w:rPr>
        <w:t xml:space="preserve">Dans le secteur industriel, les émissions ont diminué pour la deuxième année consécutive, pour atteindre 155 </w:t>
      </w:r>
      <w:r w:rsidRPr="00F751C1">
        <w:rPr>
          <w:lang w:val="fr-FR"/>
        </w:rPr>
        <w:t>MtCO</w:t>
      </w:r>
      <w:r w:rsidRPr="00F751C1">
        <w:rPr>
          <w:vertAlign w:val="subscript"/>
          <w:lang w:val="fr-FR"/>
        </w:rPr>
        <w:t>2</w:t>
      </w:r>
      <w:r w:rsidRPr="00F751C1">
        <w:rPr>
          <w:lang w:val="fr-FR"/>
        </w:rPr>
        <w:t>e</w:t>
      </w:r>
      <w:r>
        <w:rPr>
          <w:lang w:val="fr-FR"/>
        </w:rPr>
        <w:t xml:space="preserve"> (- </w:t>
      </w:r>
      <w:r w:rsidRPr="002E1140">
        <w:rPr>
          <w:lang w:val="fr-FR"/>
        </w:rPr>
        <w:t>7,7 %</w:t>
      </w:r>
      <w:r>
        <w:rPr>
          <w:lang w:val="fr-FR"/>
        </w:rPr>
        <w:t>)</w:t>
      </w:r>
      <w:r w:rsidRPr="002E1140">
        <w:rPr>
          <w:lang w:val="fr-FR"/>
        </w:rPr>
        <w:t xml:space="preserve">. </w:t>
      </w:r>
      <w:r w:rsidRPr="00183C32">
        <w:rPr>
          <w:lang w:val="fr-FR"/>
        </w:rPr>
        <w:t xml:space="preserve">Les </w:t>
      </w:r>
      <w:r>
        <w:rPr>
          <w:lang w:val="fr-FR"/>
        </w:rPr>
        <w:t>conséquences</w:t>
      </w:r>
      <w:r w:rsidRPr="00183C32">
        <w:rPr>
          <w:lang w:val="fr-FR"/>
        </w:rPr>
        <w:t xml:space="preserve"> de la crise des </w:t>
      </w:r>
      <w:r>
        <w:rPr>
          <w:lang w:val="fr-FR"/>
        </w:rPr>
        <w:t>énergies</w:t>
      </w:r>
      <w:r w:rsidRPr="00183C32">
        <w:rPr>
          <w:lang w:val="fr-FR"/>
        </w:rPr>
        <w:t xml:space="preserve"> </w:t>
      </w:r>
      <w:r>
        <w:rPr>
          <w:lang w:val="fr-FR"/>
        </w:rPr>
        <w:t>fossiles</w:t>
      </w:r>
      <w:r w:rsidRPr="00183C32">
        <w:rPr>
          <w:lang w:val="fr-FR"/>
        </w:rPr>
        <w:t xml:space="preserve"> et du </w:t>
      </w:r>
      <w:r>
        <w:rPr>
          <w:lang w:val="fr-FR"/>
        </w:rPr>
        <w:t>ralentissement</w:t>
      </w:r>
      <w:r w:rsidRPr="00183C32">
        <w:rPr>
          <w:lang w:val="fr-FR"/>
        </w:rPr>
        <w:t xml:space="preserve"> de la </w:t>
      </w:r>
      <w:r>
        <w:rPr>
          <w:lang w:val="fr-FR"/>
        </w:rPr>
        <w:t>conjoncture</w:t>
      </w:r>
      <w:r w:rsidRPr="00183C32">
        <w:rPr>
          <w:lang w:val="fr-FR"/>
        </w:rPr>
        <w:t xml:space="preserve"> se sont manifestées de manière particulièrement </w:t>
      </w:r>
      <w:r w:rsidRPr="00183C32">
        <w:rPr>
          <w:lang w:val="fr-FR"/>
        </w:rPr>
        <w:lastRenderedPageBreak/>
        <w:t>nette</w:t>
      </w:r>
      <w:r>
        <w:rPr>
          <w:lang w:val="fr-FR"/>
        </w:rPr>
        <w:t>. Les émissions</w:t>
      </w:r>
      <w:r w:rsidRPr="009F4C49">
        <w:rPr>
          <w:lang w:val="fr-FR"/>
        </w:rPr>
        <w:t xml:space="preserve"> </w:t>
      </w:r>
      <w:r>
        <w:rPr>
          <w:lang w:val="fr-FR"/>
        </w:rPr>
        <w:t xml:space="preserve">dans </w:t>
      </w:r>
      <w:r w:rsidRPr="009F4C49">
        <w:rPr>
          <w:lang w:val="fr-FR"/>
        </w:rPr>
        <w:t xml:space="preserve">le secteur du bâtiment </w:t>
      </w:r>
      <w:r>
        <w:rPr>
          <w:lang w:val="fr-FR"/>
        </w:rPr>
        <w:t xml:space="preserve">ont réduit </w:t>
      </w:r>
      <w:r w:rsidRPr="009F4C49">
        <w:rPr>
          <w:lang w:val="fr-FR"/>
        </w:rPr>
        <w:t xml:space="preserve">de 8,3 </w:t>
      </w:r>
      <w:r w:rsidRPr="00F751C1">
        <w:rPr>
          <w:lang w:val="fr-FR"/>
        </w:rPr>
        <w:t>MtCO</w:t>
      </w:r>
      <w:r w:rsidRPr="00F751C1">
        <w:rPr>
          <w:vertAlign w:val="subscript"/>
          <w:lang w:val="fr-FR"/>
        </w:rPr>
        <w:t>2</w:t>
      </w:r>
      <w:r w:rsidRPr="00F751C1">
        <w:rPr>
          <w:lang w:val="fr-FR"/>
        </w:rPr>
        <w:t>e</w:t>
      </w:r>
      <w:r w:rsidRPr="009F4C49">
        <w:rPr>
          <w:lang w:val="fr-FR"/>
        </w:rPr>
        <w:t xml:space="preserve"> </w:t>
      </w:r>
      <w:r>
        <w:rPr>
          <w:lang w:val="fr-FR"/>
        </w:rPr>
        <w:t xml:space="preserve">pour </w:t>
      </w:r>
      <w:r w:rsidRPr="009F4C49">
        <w:rPr>
          <w:lang w:val="fr-FR"/>
        </w:rPr>
        <w:t xml:space="preserve">atteindre environ 102 </w:t>
      </w:r>
      <w:r w:rsidRPr="00F751C1">
        <w:rPr>
          <w:lang w:val="fr-FR"/>
        </w:rPr>
        <w:t>MtCO</w:t>
      </w:r>
      <w:r w:rsidRPr="00F751C1">
        <w:rPr>
          <w:vertAlign w:val="subscript"/>
          <w:lang w:val="fr-FR"/>
        </w:rPr>
        <w:t>2</w:t>
      </w:r>
      <w:r w:rsidRPr="00F751C1">
        <w:rPr>
          <w:lang w:val="fr-FR"/>
        </w:rPr>
        <w:t>e</w:t>
      </w:r>
      <w:r w:rsidRPr="009F4C49">
        <w:rPr>
          <w:lang w:val="fr-FR"/>
        </w:rPr>
        <w:t xml:space="preserve"> (</w:t>
      </w:r>
      <w:r>
        <w:rPr>
          <w:lang w:val="fr-FR"/>
        </w:rPr>
        <w:t>-</w:t>
      </w:r>
      <w:r w:rsidRPr="009F4C49">
        <w:rPr>
          <w:lang w:val="fr-FR"/>
        </w:rPr>
        <w:t xml:space="preserve">7,5 %). Malgré cette </w:t>
      </w:r>
      <w:r>
        <w:rPr>
          <w:lang w:val="fr-FR"/>
        </w:rPr>
        <w:t>baisse</w:t>
      </w:r>
      <w:r w:rsidRPr="009F4C49">
        <w:rPr>
          <w:lang w:val="fr-FR"/>
        </w:rPr>
        <w:t xml:space="preserve">, le secteur du bâtiment dépasse à nouveau la quantité d'émissions annuelles autorisée par la loi fédérale sur la protection </w:t>
      </w:r>
      <w:r>
        <w:rPr>
          <w:lang w:val="fr-FR"/>
        </w:rPr>
        <w:t>du climat</w:t>
      </w:r>
      <w:r w:rsidRPr="009F4C49">
        <w:rPr>
          <w:lang w:val="fr-FR"/>
        </w:rPr>
        <w:t xml:space="preserve"> (</w:t>
      </w:r>
      <w:r w:rsidRPr="004A7A12">
        <w:rPr>
          <w:i/>
          <w:iCs/>
          <w:lang w:val="fr-FR"/>
        </w:rPr>
        <w:t>KSG</w:t>
      </w:r>
      <w:r w:rsidRPr="009F4C49">
        <w:rPr>
          <w:lang w:val="fr-FR"/>
        </w:rPr>
        <w:t xml:space="preserve">). </w:t>
      </w:r>
      <w:r>
        <w:rPr>
          <w:lang w:val="fr-FR"/>
        </w:rPr>
        <w:t>Enfin, le secteur des</w:t>
      </w:r>
      <w:r w:rsidRPr="009F4C49">
        <w:rPr>
          <w:lang w:val="fr-FR"/>
        </w:rPr>
        <w:t xml:space="preserve"> transports </w:t>
      </w:r>
      <w:r>
        <w:rPr>
          <w:lang w:val="fr-FR"/>
        </w:rPr>
        <w:t>a</w:t>
      </w:r>
      <w:r w:rsidRPr="009F4C49">
        <w:rPr>
          <w:lang w:val="fr-FR"/>
        </w:rPr>
        <w:t xml:space="preserve"> émis 146 </w:t>
      </w:r>
      <w:r w:rsidRPr="00F751C1">
        <w:rPr>
          <w:lang w:val="fr-FR"/>
        </w:rPr>
        <w:t>MtCO</w:t>
      </w:r>
      <w:r w:rsidRPr="00F751C1">
        <w:rPr>
          <w:vertAlign w:val="subscript"/>
          <w:lang w:val="fr-FR"/>
        </w:rPr>
        <w:t>2</w:t>
      </w:r>
      <w:r w:rsidRPr="00F751C1">
        <w:rPr>
          <w:lang w:val="fr-FR"/>
        </w:rPr>
        <w:t>e</w:t>
      </w:r>
      <w:r>
        <w:rPr>
          <w:lang w:val="fr-FR"/>
        </w:rPr>
        <w:t xml:space="preserve">, dépassant ainsi de </w:t>
      </w:r>
      <w:r w:rsidRPr="009F4C49">
        <w:rPr>
          <w:lang w:val="fr-FR"/>
        </w:rPr>
        <w:t xml:space="preserve">13 </w:t>
      </w:r>
      <w:r w:rsidRPr="00F751C1">
        <w:rPr>
          <w:lang w:val="fr-FR"/>
        </w:rPr>
        <w:t>MtCO</w:t>
      </w:r>
      <w:r w:rsidRPr="00F751C1">
        <w:rPr>
          <w:vertAlign w:val="subscript"/>
          <w:lang w:val="fr-FR"/>
        </w:rPr>
        <w:t>2</w:t>
      </w:r>
      <w:r w:rsidRPr="00F751C1">
        <w:rPr>
          <w:lang w:val="fr-FR"/>
        </w:rPr>
        <w:t>e</w:t>
      </w:r>
      <w:r>
        <w:rPr>
          <w:lang w:val="fr-FR"/>
        </w:rPr>
        <w:t xml:space="preserve"> la quantité annuelle </w:t>
      </w:r>
      <w:r w:rsidRPr="009F4C49">
        <w:rPr>
          <w:lang w:val="fr-FR"/>
        </w:rPr>
        <w:t xml:space="preserve">d'émissions autorisée par la </w:t>
      </w:r>
      <w:r>
        <w:rPr>
          <w:lang w:val="fr-FR"/>
        </w:rPr>
        <w:t>KSG</w:t>
      </w:r>
      <w:r w:rsidRPr="009F4C49">
        <w:rPr>
          <w:lang w:val="fr-FR"/>
        </w:rPr>
        <w:t xml:space="preserve"> pour 2023</w:t>
      </w:r>
      <w:r>
        <w:rPr>
          <w:lang w:val="fr-FR"/>
        </w:rPr>
        <w:t xml:space="preserve">. </w:t>
      </w:r>
      <w:r w:rsidRPr="009F4C49">
        <w:rPr>
          <w:lang w:val="fr-FR"/>
        </w:rPr>
        <w:t xml:space="preserve">Compte tenu du faible dépassement enregistré dans le secteur du bâtiment, le transport est donc le seul secteur à manquer nettement son objectif et à s'éloigner davantage de la trajectoire </w:t>
      </w:r>
      <w:r>
        <w:rPr>
          <w:lang w:val="fr-FR"/>
        </w:rPr>
        <w:t>prévue par la loi</w:t>
      </w:r>
      <w:r w:rsidRPr="009F4C49">
        <w:rPr>
          <w:lang w:val="fr-FR"/>
        </w:rPr>
        <w:t xml:space="preserve">. </w:t>
      </w:r>
    </w:p>
    <w:p w14:paraId="76104E34" w14:textId="380250AF" w:rsidR="00BB2035" w:rsidRPr="000E0FA0" w:rsidRDefault="00BB2035" w:rsidP="00BB2035">
      <w:pPr>
        <w:pStyle w:val="Ttitre03"/>
      </w:pPr>
      <w:bookmarkStart w:id="32" w:name="_Toc163480890"/>
      <w:bookmarkStart w:id="33" w:name="_Toc163572711"/>
      <w:r>
        <w:t>5</w:t>
      </w:r>
      <w:r w:rsidRPr="000E0FA0">
        <w:t>. Coopération franco-allemande sur la flexibilité des systèmes énergétiques</w:t>
      </w:r>
      <w:bookmarkEnd w:id="32"/>
      <w:bookmarkEnd w:id="33"/>
    </w:p>
    <w:p w14:paraId="6A9505BE" w14:textId="63BECB73" w:rsidR="00BB2035" w:rsidRPr="000C13D7" w:rsidRDefault="00BB2035" w:rsidP="00BB2035">
      <w:pPr>
        <w:pStyle w:val="BREVESECOTextecourant1"/>
        <w:spacing w:before="120"/>
        <w:ind w:left="0" w:right="0"/>
        <w:jc w:val="both"/>
      </w:pPr>
      <w:r w:rsidRPr="000C13D7">
        <w:t>À l’occasion du Conseil Énergie</w:t>
      </w:r>
      <w:r>
        <w:t xml:space="preserve"> du 4 mars 2024, en présence de Roland Lescure, Ministre Délégué </w:t>
      </w:r>
      <w:r w:rsidR="00BE0DD6">
        <w:t>chargé</w:t>
      </w:r>
      <w:r>
        <w:t xml:space="preserve"> de l’Industrie</w:t>
      </w:r>
      <w:r w:rsidR="00E21D5C">
        <w:t xml:space="preserve"> et de l’Énergie</w:t>
      </w:r>
      <w:r>
        <w:t>, et Sven Giegold, S</w:t>
      </w:r>
      <w:r w:rsidRPr="004C488D">
        <w:t>ecrétaire d'État au ministère fédéral</w:t>
      </w:r>
      <w:r>
        <w:t xml:space="preserve"> allemand</w:t>
      </w:r>
      <w:r w:rsidRPr="004C488D">
        <w:t xml:space="preserve"> de l'</w:t>
      </w:r>
      <w:r>
        <w:t>É</w:t>
      </w:r>
      <w:r w:rsidRPr="004C488D">
        <w:t xml:space="preserve">conomie et </w:t>
      </w:r>
      <w:r>
        <w:t>de la Protection du Climat (BMWK), la France et l’Allemagne se sont accordées pour «</w:t>
      </w:r>
      <w:r>
        <w:rPr>
          <w:rFonts w:ascii="Calibri" w:hAnsi="Calibri" w:cs="Calibri"/>
        </w:rPr>
        <w:t> </w:t>
      </w:r>
      <w:r>
        <w:t>travailler conjointement</w:t>
      </w:r>
      <w:r>
        <w:rPr>
          <w:rFonts w:ascii="Calibri" w:hAnsi="Calibri" w:cs="Calibri"/>
        </w:rPr>
        <w:t> </w:t>
      </w:r>
      <w:r>
        <w:rPr>
          <w:rFonts w:cs="Marianne Light"/>
        </w:rPr>
        <w:t>»</w:t>
      </w:r>
      <w:r>
        <w:t xml:space="preserve"> sur la flexibilité des systèmes énergétiques, notamment la flexibilité de la consommation électrique, le stockage par batterie, le redispatch</w:t>
      </w:r>
      <w:r w:rsidR="00E80D0E">
        <w:t>ing</w:t>
      </w:r>
      <w:r>
        <w:t xml:space="preserve">, les infrastructures de réseau. Selon S. Giegold : </w:t>
      </w:r>
      <w:r w:rsidRPr="006F27BF">
        <w:rPr>
          <w:i/>
          <w:iCs/>
        </w:rPr>
        <w:t>«</w:t>
      </w:r>
      <w:r w:rsidRPr="006F27BF">
        <w:rPr>
          <w:rFonts w:ascii="Calibri" w:hAnsi="Calibri" w:cs="Calibri"/>
          <w:i/>
          <w:iCs/>
        </w:rPr>
        <w:t> </w:t>
      </w:r>
      <w:r w:rsidRPr="006F27BF">
        <w:rPr>
          <w:i/>
          <w:iCs/>
        </w:rPr>
        <w:t>La flexibilité est essentielle pour assurer la sécurité d'approvisionnement et optimiser le fonctionnement du système électrique tout en faisant baisser les prix de l'électricité en renforçant la compétitivité de l'Europe.</w:t>
      </w:r>
      <w:r w:rsidRPr="006F27BF">
        <w:rPr>
          <w:rFonts w:ascii="Calibri" w:hAnsi="Calibri" w:cs="Calibri"/>
          <w:i/>
          <w:iCs/>
        </w:rPr>
        <w:t> </w:t>
      </w:r>
      <w:r w:rsidRPr="004C488D">
        <w:rPr>
          <w:rFonts w:cs="Marianne Light"/>
        </w:rPr>
        <w:t>»</w:t>
      </w:r>
      <w:r>
        <w:rPr>
          <w:rFonts w:cs="Marianne Light"/>
        </w:rPr>
        <w:t xml:space="preserve"> (Source</w:t>
      </w:r>
      <w:r>
        <w:rPr>
          <w:rFonts w:ascii="Calibri" w:hAnsi="Calibri" w:cs="Calibri"/>
        </w:rPr>
        <w:t> </w:t>
      </w:r>
      <w:r>
        <w:rPr>
          <w:rFonts w:cs="Marianne Light"/>
        </w:rPr>
        <w:t xml:space="preserve">: </w:t>
      </w:r>
      <w:hyperlink r:id="rId17" w:history="1">
        <w:r w:rsidRPr="00720EC8">
          <w:rPr>
            <w:rStyle w:val="Lienhypertexte"/>
            <w:rFonts w:cs="Marianne Light"/>
          </w:rPr>
          <w:t>BMWK</w:t>
        </w:r>
      </w:hyperlink>
      <w:r>
        <w:rPr>
          <w:rFonts w:cs="Marianne Light"/>
        </w:rPr>
        <w:t>).</w:t>
      </w:r>
    </w:p>
    <w:p w14:paraId="76A41D13" w14:textId="66194489" w:rsidR="004841DC" w:rsidRPr="005F08E5" w:rsidRDefault="00BB2035" w:rsidP="00AF77E1">
      <w:pPr>
        <w:pStyle w:val="Ttitre03"/>
      </w:pPr>
      <w:bookmarkStart w:id="34" w:name="_Toc163480891"/>
      <w:bookmarkStart w:id="35" w:name="_Toc163572712"/>
      <w:r>
        <w:t>6</w:t>
      </w:r>
      <w:r w:rsidR="000F6685">
        <w:t xml:space="preserve">. </w:t>
      </w:r>
      <w:r w:rsidR="004841DC" w:rsidRPr="005F08E5">
        <w:t xml:space="preserve"> </w:t>
      </w:r>
      <w:r w:rsidR="009E2069">
        <w:t>Klimageld</w:t>
      </w:r>
      <w:r w:rsidR="009E2069">
        <w:rPr>
          <w:rFonts w:ascii="Calibri" w:hAnsi="Calibri" w:cs="Calibri"/>
        </w:rPr>
        <w:t> </w:t>
      </w:r>
      <w:r w:rsidR="009E2069">
        <w:t xml:space="preserve">: </w:t>
      </w:r>
      <w:r w:rsidR="000F6685">
        <w:t>L</w:t>
      </w:r>
      <w:r w:rsidR="000F6685" w:rsidRPr="003605E6">
        <w:t>es Länder demandent le versement d</w:t>
      </w:r>
      <w:r w:rsidR="000F6685">
        <w:t>e l’allocation</w:t>
      </w:r>
      <w:r w:rsidR="000F6685" w:rsidRPr="003605E6">
        <w:t xml:space="preserve"> à partir de 2025</w:t>
      </w:r>
      <w:bookmarkEnd w:id="34"/>
      <w:bookmarkEnd w:id="35"/>
    </w:p>
    <w:p w14:paraId="364A6485" w14:textId="77777777" w:rsidR="000F6685" w:rsidRDefault="000F6685" w:rsidP="000F6685">
      <w:pPr>
        <w:pStyle w:val="BREVESECOTextecourant1"/>
        <w:spacing w:before="120"/>
        <w:ind w:left="0" w:right="0"/>
        <w:jc w:val="both"/>
        <w:rPr>
          <w:lang w:val="fr-FR"/>
        </w:rPr>
      </w:pPr>
      <w:r>
        <w:rPr>
          <w:lang w:val="fr-FR"/>
        </w:rPr>
        <w:t>L</w:t>
      </w:r>
      <w:r w:rsidRPr="003605E6">
        <w:rPr>
          <w:lang w:val="fr-FR"/>
        </w:rPr>
        <w:t xml:space="preserve">a chambre des Länder </w:t>
      </w:r>
      <w:r>
        <w:rPr>
          <w:lang w:val="fr-FR"/>
        </w:rPr>
        <w:t>(</w:t>
      </w:r>
      <w:r w:rsidRPr="001E3568">
        <w:rPr>
          <w:i/>
          <w:iCs/>
          <w:lang w:val="fr-FR"/>
        </w:rPr>
        <w:t>Bundesrat</w:t>
      </w:r>
      <w:r>
        <w:rPr>
          <w:lang w:val="fr-FR"/>
        </w:rPr>
        <w:t xml:space="preserve">) </w:t>
      </w:r>
      <w:r w:rsidRPr="003605E6">
        <w:rPr>
          <w:lang w:val="fr-FR"/>
        </w:rPr>
        <w:t xml:space="preserve">a adopté </w:t>
      </w:r>
      <w:r>
        <w:rPr>
          <w:lang w:val="fr-FR"/>
        </w:rPr>
        <w:t>le 22 mars 2024</w:t>
      </w:r>
      <w:r w:rsidRPr="003605E6">
        <w:rPr>
          <w:lang w:val="fr-FR"/>
        </w:rPr>
        <w:t xml:space="preserve"> une résolutio</w:t>
      </w:r>
      <w:r>
        <w:rPr>
          <w:lang w:val="fr-FR"/>
        </w:rPr>
        <w:t>n (</w:t>
      </w:r>
      <w:hyperlink r:id="rId18" w:anchor="top-18" w:history="1">
        <w:r w:rsidRPr="00FB1F61">
          <w:rPr>
            <w:rStyle w:val="Lienhypertexte"/>
            <w:lang w:val="fr-FR"/>
          </w:rPr>
          <w:t>lien</w:t>
        </w:r>
      </w:hyperlink>
      <w:r>
        <w:rPr>
          <w:lang w:val="fr-FR"/>
        </w:rPr>
        <w:t xml:space="preserve">) </w:t>
      </w:r>
      <w:r w:rsidRPr="003605E6">
        <w:rPr>
          <w:lang w:val="fr-FR"/>
        </w:rPr>
        <w:t xml:space="preserve">sur </w:t>
      </w:r>
      <w:r>
        <w:rPr>
          <w:lang w:val="fr-FR"/>
        </w:rPr>
        <w:t>la mise en place de «</w:t>
      </w:r>
      <w:r>
        <w:rPr>
          <w:rFonts w:ascii="Calibri" w:hAnsi="Calibri" w:cs="Calibri"/>
          <w:lang w:val="fr-FR"/>
        </w:rPr>
        <w:t> </w:t>
      </w:r>
      <w:r>
        <w:rPr>
          <w:lang w:val="fr-FR"/>
        </w:rPr>
        <w:t>l’allocation</w:t>
      </w:r>
      <w:r w:rsidRPr="003605E6">
        <w:rPr>
          <w:lang w:val="fr-FR"/>
        </w:rPr>
        <w:t xml:space="preserve"> climat</w:t>
      </w:r>
      <w:r>
        <w:rPr>
          <w:rFonts w:ascii="Calibri" w:hAnsi="Calibri" w:cs="Calibri"/>
          <w:lang w:val="fr-FR"/>
        </w:rPr>
        <w:t> </w:t>
      </w:r>
      <w:r>
        <w:rPr>
          <w:rFonts w:cs="Marianne Light"/>
          <w:lang w:val="fr-FR"/>
        </w:rPr>
        <w:t>» (</w:t>
      </w:r>
      <w:r w:rsidRPr="00FB1F61">
        <w:rPr>
          <w:rFonts w:cs="Marianne Light"/>
          <w:i/>
          <w:iCs/>
          <w:lang w:val="fr-FR"/>
        </w:rPr>
        <w:t>Klimageld</w:t>
      </w:r>
      <w:r>
        <w:rPr>
          <w:rFonts w:cs="Marianne Light"/>
          <w:lang w:val="fr-FR"/>
        </w:rPr>
        <w:t>)</w:t>
      </w:r>
      <w:r>
        <w:rPr>
          <w:lang w:val="fr-FR"/>
        </w:rPr>
        <w:t>. L</w:t>
      </w:r>
      <w:r w:rsidRPr="003605E6">
        <w:rPr>
          <w:lang w:val="fr-FR"/>
        </w:rPr>
        <w:t xml:space="preserve">e gouvernement fédéral </w:t>
      </w:r>
      <w:r>
        <w:rPr>
          <w:lang w:val="fr-FR"/>
        </w:rPr>
        <w:t>doit</w:t>
      </w:r>
      <w:r w:rsidRPr="003605E6">
        <w:rPr>
          <w:lang w:val="fr-FR"/>
        </w:rPr>
        <w:t xml:space="preserve"> créer cette année les conditions juridiques et techniques pour le versement direct de </w:t>
      </w:r>
      <w:r>
        <w:rPr>
          <w:lang w:val="fr-FR"/>
        </w:rPr>
        <w:t>l’«</w:t>
      </w:r>
      <w:r>
        <w:rPr>
          <w:rFonts w:ascii="Calibri" w:hAnsi="Calibri" w:cs="Calibri"/>
          <w:lang w:val="fr-FR"/>
        </w:rPr>
        <w:t> </w:t>
      </w:r>
      <w:r>
        <w:rPr>
          <w:lang w:val="fr-FR"/>
        </w:rPr>
        <w:t>allocation climat</w:t>
      </w:r>
      <w:r>
        <w:rPr>
          <w:rFonts w:ascii="Calibri" w:hAnsi="Calibri" w:cs="Calibri"/>
          <w:lang w:val="fr-FR"/>
        </w:rPr>
        <w:t> </w:t>
      </w:r>
      <w:r>
        <w:rPr>
          <w:rFonts w:cs="Marianne Light"/>
          <w:lang w:val="fr-FR"/>
        </w:rPr>
        <w:t xml:space="preserve">» </w:t>
      </w:r>
      <w:r w:rsidRPr="003605E6">
        <w:rPr>
          <w:lang w:val="fr-FR"/>
        </w:rPr>
        <w:t>aux particuliers</w:t>
      </w:r>
      <w:r>
        <w:rPr>
          <w:lang w:val="fr-FR"/>
        </w:rPr>
        <w:t xml:space="preserve">. Prévue </w:t>
      </w:r>
      <w:r>
        <w:rPr>
          <w:lang w:val="fr-FR"/>
        </w:rPr>
        <w:t>dans le contrat de coalition, le Bundesrat réclame l</w:t>
      </w:r>
      <w:r w:rsidRPr="003605E6">
        <w:rPr>
          <w:lang w:val="fr-FR"/>
        </w:rPr>
        <w:t xml:space="preserve">e versement de </w:t>
      </w:r>
      <w:r>
        <w:rPr>
          <w:lang w:val="fr-FR"/>
        </w:rPr>
        <w:t>cette allocation</w:t>
      </w:r>
      <w:r w:rsidRPr="003605E6">
        <w:rPr>
          <w:lang w:val="fr-FR"/>
        </w:rPr>
        <w:t xml:space="preserve"> à partir de 2025 afin de soulager les </w:t>
      </w:r>
      <w:r>
        <w:rPr>
          <w:lang w:val="fr-FR"/>
        </w:rPr>
        <w:t>ménages</w:t>
      </w:r>
      <w:r w:rsidRPr="003605E6">
        <w:rPr>
          <w:lang w:val="fr-FR"/>
        </w:rPr>
        <w:t xml:space="preserve"> de </w:t>
      </w:r>
      <w:r>
        <w:rPr>
          <w:lang w:val="fr-FR"/>
        </w:rPr>
        <w:t>la hausse des prix du CO</w:t>
      </w:r>
      <w:r w:rsidRPr="007A79DE">
        <w:rPr>
          <w:vertAlign w:val="subscript"/>
          <w:lang w:val="fr-FR"/>
        </w:rPr>
        <w:t>2</w:t>
      </w:r>
      <w:r>
        <w:rPr>
          <w:lang w:val="fr-FR"/>
        </w:rPr>
        <w:t xml:space="preserve"> (e. g. secteurs du chauffage et des transports). Le groupe des Verts au Parlement (</w:t>
      </w:r>
      <w:r w:rsidRPr="00364A3E">
        <w:rPr>
          <w:i/>
          <w:iCs/>
          <w:lang w:val="fr-FR"/>
        </w:rPr>
        <w:t>Bundestag</w:t>
      </w:r>
      <w:r>
        <w:rPr>
          <w:lang w:val="fr-FR"/>
        </w:rPr>
        <w:t xml:space="preserve">) fait également pression </w:t>
      </w:r>
      <w:r w:rsidRPr="003605E6">
        <w:rPr>
          <w:lang w:val="fr-FR"/>
        </w:rPr>
        <w:t xml:space="preserve">pour une introduction et un versement rapides de </w:t>
      </w:r>
      <w:r>
        <w:rPr>
          <w:lang w:val="fr-FR"/>
        </w:rPr>
        <w:t>l’allocation climat</w:t>
      </w:r>
      <w:r w:rsidRPr="003605E6">
        <w:rPr>
          <w:lang w:val="fr-FR"/>
        </w:rPr>
        <w:t>.</w:t>
      </w:r>
      <w:r>
        <w:rPr>
          <w:lang w:val="fr-FR"/>
        </w:rPr>
        <w:t xml:space="preserve"> </w:t>
      </w:r>
      <w:r w:rsidRPr="003605E6">
        <w:rPr>
          <w:lang w:val="fr-FR"/>
        </w:rPr>
        <w:t xml:space="preserve">Le gouvernement fédéral doit vérifier </w:t>
      </w:r>
      <w:r>
        <w:rPr>
          <w:lang w:val="fr-FR"/>
        </w:rPr>
        <w:t xml:space="preserve">(i) </w:t>
      </w:r>
      <w:r w:rsidRPr="003605E6">
        <w:rPr>
          <w:lang w:val="fr-FR"/>
        </w:rPr>
        <w:t>s'il est possible de garantir le versement de montants proportionnels aux revenus</w:t>
      </w:r>
      <w:r>
        <w:rPr>
          <w:lang w:val="fr-FR"/>
        </w:rPr>
        <w:t xml:space="preserve"> et (ii) doit </w:t>
      </w:r>
      <w:r w:rsidRPr="003605E6">
        <w:rPr>
          <w:lang w:val="fr-FR"/>
        </w:rPr>
        <w:t>s'assurer que le versement soit effectué de manière automatisée par l'État fédéral et qu'il ne soit pas confié aux autorités et services des Länder.</w:t>
      </w:r>
      <w:r>
        <w:rPr>
          <w:lang w:val="fr-FR"/>
        </w:rPr>
        <w:t xml:space="preserve"> </w:t>
      </w:r>
      <w:r w:rsidRPr="003605E6">
        <w:rPr>
          <w:lang w:val="fr-FR"/>
        </w:rPr>
        <w:t>La prochaine étape est la mise en place d'un mécanisme de paiement</w:t>
      </w:r>
      <w:r>
        <w:rPr>
          <w:lang w:val="fr-FR"/>
        </w:rPr>
        <w:t xml:space="preserve">, en cours de réflexion au sein du </w:t>
      </w:r>
      <w:r w:rsidRPr="003605E6">
        <w:rPr>
          <w:lang w:val="fr-FR"/>
        </w:rPr>
        <w:t>minist</w:t>
      </w:r>
      <w:r>
        <w:rPr>
          <w:lang w:val="fr-FR"/>
        </w:rPr>
        <w:t xml:space="preserve">ère </w:t>
      </w:r>
      <w:r w:rsidRPr="003605E6">
        <w:rPr>
          <w:lang w:val="fr-FR"/>
        </w:rPr>
        <w:t>des Finances</w:t>
      </w:r>
      <w:r>
        <w:rPr>
          <w:lang w:val="fr-FR"/>
        </w:rPr>
        <w:t xml:space="preserve">. Le </w:t>
      </w:r>
      <w:r w:rsidRPr="00FF3E69">
        <w:rPr>
          <w:i/>
          <w:iCs/>
          <w:lang w:val="fr-FR"/>
        </w:rPr>
        <w:t>Klimageld</w:t>
      </w:r>
      <w:r>
        <w:rPr>
          <w:lang w:val="fr-FR"/>
        </w:rPr>
        <w:t xml:space="preserve"> reste un sujet de discorde au sein de la coalition. </w:t>
      </w:r>
      <w:r w:rsidRPr="003605E6">
        <w:rPr>
          <w:lang w:val="fr-FR"/>
        </w:rPr>
        <w:t xml:space="preserve">Les Verts espèrent qu'un tel mécanisme </w:t>
      </w:r>
      <w:r>
        <w:rPr>
          <w:lang w:val="fr-FR"/>
        </w:rPr>
        <w:t>«</w:t>
      </w:r>
      <w:r>
        <w:rPr>
          <w:rFonts w:ascii="Calibri" w:hAnsi="Calibri" w:cs="Calibri"/>
          <w:lang w:val="fr-FR"/>
        </w:rPr>
        <w:t> </w:t>
      </w:r>
      <w:r w:rsidRPr="003605E6">
        <w:rPr>
          <w:lang w:val="fr-FR"/>
        </w:rPr>
        <w:t>sera bientôt opérationnel</w:t>
      </w:r>
      <w:r>
        <w:rPr>
          <w:rFonts w:ascii="Calibri" w:hAnsi="Calibri" w:cs="Calibri"/>
          <w:lang w:val="fr-FR"/>
        </w:rPr>
        <w:t> </w:t>
      </w:r>
      <w:r>
        <w:rPr>
          <w:rFonts w:cs="Marianne Light"/>
          <w:lang w:val="fr-FR"/>
        </w:rPr>
        <w:t>»</w:t>
      </w:r>
      <w:r w:rsidRPr="003605E6">
        <w:rPr>
          <w:lang w:val="fr-FR"/>
        </w:rPr>
        <w:t>.</w:t>
      </w:r>
      <w:r>
        <w:rPr>
          <w:lang w:val="fr-FR"/>
        </w:rPr>
        <w:t xml:space="preserve"> </w:t>
      </w:r>
      <w:r w:rsidRPr="001E3568">
        <w:rPr>
          <w:lang w:val="fr-FR"/>
        </w:rPr>
        <w:t xml:space="preserve">Le ministre fédéral des Finances Christian Lindner (FDP) avait laissé entrevoir un versement </w:t>
      </w:r>
      <w:r>
        <w:rPr>
          <w:lang w:val="fr-FR"/>
        </w:rPr>
        <w:t xml:space="preserve">du </w:t>
      </w:r>
      <w:r w:rsidRPr="00570617">
        <w:rPr>
          <w:i/>
          <w:iCs/>
          <w:lang w:val="fr-FR"/>
        </w:rPr>
        <w:t>Klimageld</w:t>
      </w:r>
      <w:r>
        <w:rPr>
          <w:lang w:val="fr-FR"/>
        </w:rPr>
        <w:t xml:space="preserve"> </w:t>
      </w:r>
      <w:r w:rsidRPr="001E3568">
        <w:rPr>
          <w:lang w:val="fr-FR"/>
        </w:rPr>
        <w:t>au plus tôt après les élections fédérales de 2025.</w:t>
      </w:r>
    </w:p>
    <w:p w14:paraId="365E9C76" w14:textId="3BF90946" w:rsidR="004D4AED" w:rsidRPr="004D4AED" w:rsidRDefault="003E0A4E" w:rsidP="00AF77E1">
      <w:pPr>
        <w:pStyle w:val="Titre1"/>
      </w:pPr>
      <w:bookmarkStart w:id="36" w:name="_Toc163229043"/>
      <w:bookmarkStart w:id="37" w:name="_Toc163480892"/>
      <w:bookmarkStart w:id="38" w:name="_Toc163572713"/>
      <w:r>
        <w:t>Transports</w:t>
      </w:r>
      <w:bookmarkEnd w:id="21"/>
      <w:bookmarkEnd w:id="22"/>
      <w:bookmarkEnd w:id="23"/>
      <w:bookmarkEnd w:id="24"/>
      <w:bookmarkEnd w:id="25"/>
      <w:bookmarkEnd w:id="36"/>
      <w:bookmarkEnd w:id="37"/>
      <w:bookmarkEnd w:id="38"/>
    </w:p>
    <w:p w14:paraId="5EDC64F0" w14:textId="25C97AB1" w:rsidR="004D4AED" w:rsidRDefault="004D4AED" w:rsidP="00CD5828">
      <w:pPr>
        <w:pStyle w:val="Ttitre03"/>
        <w:jc w:val="both"/>
      </w:pPr>
      <w:bookmarkStart w:id="39" w:name="_Toc163229044"/>
      <w:bookmarkStart w:id="40" w:name="_Toc163480893"/>
      <w:bookmarkStart w:id="41" w:name="_Toc163572714"/>
      <w:bookmarkStart w:id="42" w:name="_Toc148091897"/>
      <w:bookmarkStart w:id="43" w:name="_Toc148091923"/>
      <w:bookmarkStart w:id="44" w:name="_Toc148091946"/>
      <w:bookmarkStart w:id="45" w:name="_Toc148092156"/>
      <w:bookmarkStart w:id="46" w:name="_Toc148092197"/>
      <w:r>
        <w:t xml:space="preserve">1. </w:t>
      </w:r>
      <w:r w:rsidR="000246ED">
        <w:t>Le gouvernement publie sa stratégie nationale pour les ports, au financement incertain</w:t>
      </w:r>
      <w:bookmarkEnd w:id="39"/>
      <w:bookmarkEnd w:id="40"/>
      <w:bookmarkEnd w:id="41"/>
    </w:p>
    <w:p w14:paraId="6039F8AD" w14:textId="1210BDD3" w:rsidR="00BD535D" w:rsidRPr="00BD535D" w:rsidRDefault="000246ED" w:rsidP="00BD535D">
      <w:pPr>
        <w:pStyle w:val="BREVESECOTextecourant1"/>
        <w:spacing w:before="120"/>
        <w:ind w:left="0" w:right="0"/>
        <w:jc w:val="both"/>
        <w:rPr>
          <w:lang w:val="fr-FR"/>
        </w:rPr>
      </w:pPr>
      <w:bookmarkStart w:id="47" w:name="_Hlk149313293"/>
      <w:bookmarkStart w:id="48" w:name="_Hlk149313369"/>
      <w:r>
        <w:rPr>
          <w:lang w:val="fr-FR"/>
        </w:rPr>
        <w:t>L</w:t>
      </w:r>
      <w:r w:rsidRPr="000246ED">
        <w:rPr>
          <w:lang w:val="fr-FR"/>
        </w:rPr>
        <w:t xml:space="preserve">e Conseil des ministres a publié </w:t>
      </w:r>
      <w:r w:rsidR="00D606B8">
        <w:rPr>
          <w:lang w:val="fr-FR"/>
        </w:rPr>
        <w:t>le 20 mars</w:t>
      </w:r>
      <w:r w:rsidRPr="000246ED">
        <w:rPr>
          <w:lang w:val="fr-FR"/>
        </w:rPr>
        <w:t xml:space="preserve"> sa « Stratégie nationale pour les ports maritimes et fluviaux ». Ce document de 68 pages</w:t>
      </w:r>
      <w:r w:rsidR="00BD535D">
        <w:rPr>
          <w:lang w:val="fr-FR"/>
        </w:rPr>
        <w:t xml:space="preserve"> a été</w:t>
      </w:r>
      <w:r w:rsidRPr="000246ED">
        <w:rPr>
          <w:lang w:val="fr-FR"/>
        </w:rPr>
        <w:t xml:space="preserve"> élaboré avec plusieurs ministères fédéraux, Länder, fédérations et syndicats. Cette stratégie a vocation à réaffirmer la place centrale des ports pour les politiques industrielle, commerciale, énergétique ou encore de défense. Elle repose sur 140 mesures et 5 « piliers » :</w:t>
      </w:r>
      <w:r w:rsidR="00BD535D">
        <w:rPr>
          <w:lang w:val="fr-FR"/>
        </w:rPr>
        <w:t xml:space="preserve"> (i) l</w:t>
      </w:r>
      <w:r w:rsidR="00BD535D" w:rsidRPr="00BD535D">
        <w:rPr>
          <w:lang w:val="fr-FR"/>
        </w:rPr>
        <w:t>e renforcement de la compétitivité</w:t>
      </w:r>
      <w:r w:rsidR="00BD535D">
        <w:rPr>
          <w:lang w:val="fr-FR"/>
        </w:rPr>
        <w:t xml:space="preserve">, (ii) </w:t>
      </w:r>
      <w:r w:rsidR="00BD535D" w:rsidRPr="00BD535D">
        <w:rPr>
          <w:lang w:val="fr-FR"/>
        </w:rPr>
        <w:t>la transition énergétique et le transport multimodal</w:t>
      </w:r>
      <w:r w:rsidR="00BD535D">
        <w:rPr>
          <w:lang w:val="fr-FR"/>
        </w:rPr>
        <w:t xml:space="preserve">, (iii) </w:t>
      </w:r>
      <w:r w:rsidR="00BD535D" w:rsidRPr="00BD535D">
        <w:rPr>
          <w:lang w:val="fr-FR"/>
        </w:rPr>
        <w:t>la transformation numérique</w:t>
      </w:r>
      <w:r w:rsidR="00BD535D">
        <w:rPr>
          <w:lang w:val="fr-FR"/>
        </w:rPr>
        <w:t>, (iv) l</w:t>
      </w:r>
      <w:r w:rsidR="00BD535D" w:rsidRPr="00BD535D">
        <w:rPr>
          <w:lang w:val="fr-FR"/>
        </w:rPr>
        <w:t>a formation et l'emploi</w:t>
      </w:r>
      <w:r w:rsidR="00BD535D">
        <w:rPr>
          <w:lang w:val="fr-FR"/>
        </w:rPr>
        <w:t xml:space="preserve"> et (v) l</w:t>
      </w:r>
      <w:r w:rsidR="00BD535D" w:rsidRPr="00BD535D">
        <w:rPr>
          <w:lang w:val="fr-FR"/>
        </w:rPr>
        <w:t>e développement et l'entretien des infrastructures</w:t>
      </w:r>
      <w:r w:rsidR="00BD535D">
        <w:rPr>
          <w:lang w:val="fr-FR"/>
        </w:rPr>
        <w:t xml:space="preserve">. </w:t>
      </w:r>
      <w:r w:rsidR="00BD535D" w:rsidRPr="00BD535D">
        <w:rPr>
          <w:lang w:val="fr-FR"/>
        </w:rPr>
        <w:t xml:space="preserve">Les 140 mesures, réparties sous forme de tableau, sont associées à une échéance et une entité responsable (en grande partie Bund et Länder). </w:t>
      </w:r>
      <w:r w:rsidR="00BD535D" w:rsidRPr="00BD535D">
        <w:rPr>
          <w:lang w:val="fr-FR"/>
        </w:rPr>
        <w:lastRenderedPageBreak/>
        <w:t xml:space="preserve">En effet, la répartition des compétences sur les sujets maritimes et fluviaux est complexe en Allemagne : les Länder sont responsables des infrastructures et des zones portuaires, tandis que le Bund est chargé des voies navigables, et plus largement de la connexion des ports avec leurs </w:t>
      </w:r>
      <w:r w:rsidR="00BD535D" w:rsidRPr="00BD535D">
        <w:rPr>
          <w:i/>
          <w:iCs/>
          <w:lang w:val="fr-FR"/>
        </w:rPr>
        <w:t>Hinterlands</w:t>
      </w:r>
      <w:r w:rsidR="00BD535D" w:rsidRPr="00BD535D">
        <w:rPr>
          <w:lang w:val="fr-FR"/>
        </w:rPr>
        <w:t>. L’élaboration de cette première stratégie nationale vise également à renforcer les responsabilités du Bund et à uniformiser les politiques publiques portuaires.</w:t>
      </w:r>
      <w:r w:rsidR="00BD535D">
        <w:rPr>
          <w:lang w:val="fr-FR"/>
        </w:rPr>
        <w:t xml:space="preserve"> </w:t>
      </w:r>
      <w:r w:rsidR="003C271B">
        <w:rPr>
          <w:lang w:val="fr-FR"/>
        </w:rPr>
        <w:t>Néanmoins, d</w:t>
      </w:r>
      <w:r w:rsidR="00BD535D" w:rsidRPr="00BD535D">
        <w:rPr>
          <w:lang w:val="fr-FR"/>
        </w:rPr>
        <w:t xml:space="preserve">e l’avis de l’ensemble des parties prenantes, la grande question de cette stratégie reste celle du financement. Cette </w:t>
      </w:r>
      <w:r w:rsidR="003C271B">
        <w:rPr>
          <w:lang w:val="fr-FR"/>
        </w:rPr>
        <w:t xml:space="preserve">dimension </w:t>
      </w:r>
      <w:r w:rsidR="00BD535D" w:rsidRPr="00BD535D">
        <w:rPr>
          <w:lang w:val="fr-FR"/>
        </w:rPr>
        <w:t>est assumée par Volker Wissing, ministre fédéral des Transports, qui a déclaré lors de la présentation « d’abord la planification, puis les fonds ».</w:t>
      </w:r>
      <w:r w:rsidR="003C271B">
        <w:rPr>
          <w:lang w:val="fr-FR"/>
        </w:rPr>
        <w:t xml:space="preserve"> </w:t>
      </w:r>
      <w:r w:rsidR="003C271B" w:rsidRPr="003C271B">
        <w:rPr>
          <w:lang w:val="fr-FR"/>
        </w:rPr>
        <w:t xml:space="preserve">Plus spécifiquement, une augmentation du </w:t>
      </w:r>
      <w:r w:rsidR="003C271B" w:rsidRPr="003C271B">
        <w:rPr>
          <w:i/>
          <w:iCs/>
          <w:lang w:val="fr-FR"/>
        </w:rPr>
        <w:t>Hafenlastenausgleich</w:t>
      </w:r>
      <w:r w:rsidR="003C271B" w:rsidRPr="003C271B">
        <w:rPr>
          <w:lang w:val="fr-FR"/>
        </w:rPr>
        <w:t xml:space="preserve"> (montant payé par le Bund aux Länder principalement maritimes pour compenser les investissements portuaires) n’a </w:t>
      </w:r>
      <w:r w:rsidR="003C271B">
        <w:rPr>
          <w:lang w:val="fr-FR"/>
        </w:rPr>
        <w:t xml:space="preserve">finalement </w:t>
      </w:r>
      <w:r w:rsidR="003C271B" w:rsidRPr="003C271B">
        <w:rPr>
          <w:lang w:val="fr-FR"/>
        </w:rPr>
        <w:t>pas</w:t>
      </w:r>
      <w:r w:rsidR="003C271B">
        <w:rPr>
          <w:lang w:val="fr-FR"/>
        </w:rPr>
        <w:t xml:space="preserve"> encore</w:t>
      </w:r>
      <w:r w:rsidR="003C271B" w:rsidRPr="003C271B">
        <w:rPr>
          <w:lang w:val="fr-FR"/>
        </w:rPr>
        <w:t xml:space="preserve"> été tranchée. Les Länder réclament un montant dix fois plus élevé que le montant actuel, de 38 M € par an.</w:t>
      </w:r>
    </w:p>
    <w:p w14:paraId="2BA20909" w14:textId="24E53AB3" w:rsidR="00327937" w:rsidRDefault="007B571D" w:rsidP="00CD5828">
      <w:pPr>
        <w:pStyle w:val="Ttitre03"/>
        <w:jc w:val="both"/>
      </w:pPr>
      <w:bookmarkStart w:id="49" w:name="_Toc163229045"/>
      <w:bookmarkStart w:id="50" w:name="_Toc163480894"/>
      <w:bookmarkStart w:id="51" w:name="_Toc163572715"/>
      <w:bookmarkStart w:id="52" w:name="_Hlk162533350"/>
      <w:bookmarkEnd w:id="47"/>
      <w:bookmarkEnd w:id="48"/>
      <w:r>
        <w:t>2</w:t>
      </w:r>
      <w:r w:rsidR="00057B6D" w:rsidRPr="004D4AED">
        <w:t>.</w:t>
      </w:r>
      <w:r w:rsidR="00057B6D">
        <w:t xml:space="preserve"> </w:t>
      </w:r>
      <w:r w:rsidR="00B87617">
        <w:t xml:space="preserve">Pour </w:t>
      </w:r>
      <w:r>
        <w:t>la D</w:t>
      </w:r>
      <w:r w:rsidR="00EF45F1">
        <w:t xml:space="preserve">eutsche </w:t>
      </w:r>
      <w:r>
        <w:t>B</w:t>
      </w:r>
      <w:r w:rsidR="00EF45F1">
        <w:t>ahn</w:t>
      </w:r>
      <w:r>
        <w:t xml:space="preserve"> et Lufthansa</w:t>
      </w:r>
      <w:r w:rsidR="00B87617">
        <w:t>, deux accords tarifaires trouvés in extremis avant Pâques</w:t>
      </w:r>
      <w:bookmarkEnd w:id="49"/>
      <w:bookmarkEnd w:id="50"/>
      <w:bookmarkEnd w:id="51"/>
    </w:p>
    <w:p w14:paraId="07F8F18C" w14:textId="2FED9DE6" w:rsidR="00327937" w:rsidRDefault="003A4CB3" w:rsidP="00057B6D">
      <w:pPr>
        <w:pStyle w:val="BREVESECOTextecourant1"/>
        <w:spacing w:before="120"/>
        <w:ind w:left="0" w:right="0"/>
        <w:jc w:val="both"/>
        <w:rPr>
          <w:lang w:val="fr-FR"/>
        </w:rPr>
      </w:pPr>
      <w:bookmarkStart w:id="53" w:name="_Hlk162535480"/>
      <w:bookmarkEnd w:id="52"/>
      <w:r>
        <w:rPr>
          <w:lang w:val="fr-FR"/>
        </w:rPr>
        <w:t xml:space="preserve">Alors que l’Allemagne a été marquée, ces derniers mois, par une superposition de conflits </w:t>
      </w:r>
      <w:r w:rsidR="00545D7D">
        <w:rPr>
          <w:lang w:val="fr-FR"/>
        </w:rPr>
        <w:t>sociaux</w:t>
      </w:r>
      <w:r>
        <w:rPr>
          <w:lang w:val="fr-FR"/>
        </w:rPr>
        <w:t xml:space="preserve"> dans le secteur des transports (personnel navigant et au sol </w:t>
      </w:r>
      <w:r w:rsidR="00545D7D">
        <w:rPr>
          <w:lang w:val="fr-FR"/>
        </w:rPr>
        <w:t xml:space="preserve">dans l’aérien, transports de proximité mais surtout transport ferroviaire), deux </w:t>
      </w:r>
      <w:r w:rsidR="00970479">
        <w:rPr>
          <w:lang w:val="fr-FR"/>
        </w:rPr>
        <w:t>compromis</w:t>
      </w:r>
      <w:r w:rsidR="00545D7D">
        <w:rPr>
          <w:lang w:val="fr-FR"/>
        </w:rPr>
        <w:t xml:space="preserve"> ont été trouvés au cours de la dernière semaine de mars, alors que</w:t>
      </w:r>
      <w:r w:rsidR="00B454C0">
        <w:rPr>
          <w:lang w:val="fr-FR"/>
        </w:rPr>
        <w:t xml:space="preserve"> l’éventualité </w:t>
      </w:r>
      <w:r w:rsidR="00545D7D">
        <w:rPr>
          <w:lang w:val="fr-FR"/>
        </w:rPr>
        <w:t xml:space="preserve">de nouvelles mobilisations lors du long week-end de Pâques </w:t>
      </w:r>
      <w:r w:rsidR="00B454C0">
        <w:rPr>
          <w:lang w:val="fr-FR"/>
        </w:rPr>
        <w:t xml:space="preserve">– 4 jours en Allemagne – inquiétait l’opinion publique. </w:t>
      </w:r>
      <w:r w:rsidR="00565209">
        <w:rPr>
          <w:lang w:val="fr-FR"/>
        </w:rPr>
        <w:t>Le</w:t>
      </w:r>
      <w:r w:rsidR="00EF45F1">
        <w:rPr>
          <w:lang w:val="fr-FR"/>
        </w:rPr>
        <w:t xml:space="preserve"> 26 mars, </w:t>
      </w:r>
      <w:r w:rsidR="00637E41">
        <w:rPr>
          <w:lang w:val="fr-FR"/>
        </w:rPr>
        <w:t>a</w:t>
      </w:r>
      <w:r w:rsidR="00EF45F1">
        <w:rPr>
          <w:lang w:val="fr-FR"/>
        </w:rPr>
        <w:t>près un mouvement social d’une longueur et d’une intensité inhabituelles, un accord a été trouvé entre le syndicat des conducteurs de trains GdL et la direction de la Deutsche Bahn.</w:t>
      </w:r>
      <w:r w:rsidR="00637E41">
        <w:rPr>
          <w:lang w:val="fr-FR"/>
        </w:rPr>
        <w:t xml:space="preserve"> Au terme de six grèves totales depuis l’automne dernier, les 9</w:t>
      </w:r>
      <w:r w:rsidR="00637E41">
        <w:rPr>
          <w:rFonts w:ascii="Calibri" w:hAnsi="Calibri"/>
          <w:lang w:val="fr-FR"/>
        </w:rPr>
        <w:t> </w:t>
      </w:r>
      <w:r w:rsidR="00637E41">
        <w:rPr>
          <w:lang w:val="fr-FR"/>
        </w:rPr>
        <w:t xml:space="preserve">000 conducteurs de la compagnie allemande </w:t>
      </w:r>
      <w:r w:rsidR="00637E41" w:rsidRPr="00637E41">
        <w:rPr>
          <w:lang w:val="fr-FR"/>
        </w:rPr>
        <w:t>ont fin</w:t>
      </w:r>
      <w:r w:rsidR="00637E41">
        <w:rPr>
          <w:lang w:val="fr-FR"/>
        </w:rPr>
        <w:t>alement</w:t>
      </w:r>
      <w:r w:rsidR="00637E41" w:rsidRPr="00637E41">
        <w:rPr>
          <w:lang w:val="fr-FR"/>
        </w:rPr>
        <w:t xml:space="preserve"> </w:t>
      </w:r>
      <w:r w:rsidR="00637E41">
        <w:rPr>
          <w:lang w:val="fr-FR"/>
        </w:rPr>
        <w:t>obtenu gain de cause sur leur revendication principale,</w:t>
      </w:r>
      <w:r w:rsidR="00637E41" w:rsidRPr="00637E41">
        <w:rPr>
          <w:lang w:val="fr-FR"/>
        </w:rPr>
        <w:t xml:space="preserve"> le passage à la semaine de 35 heures (</w:t>
      </w:r>
      <w:r w:rsidR="00637E41">
        <w:rPr>
          <w:lang w:val="fr-FR"/>
        </w:rPr>
        <w:t>contre</w:t>
      </w:r>
      <w:r w:rsidR="00637E41" w:rsidRPr="00637E41">
        <w:rPr>
          <w:lang w:val="fr-FR"/>
        </w:rPr>
        <w:t xml:space="preserve"> 38 heures</w:t>
      </w:r>
      <w:r w:rsidR="00637E41">
        <w:rPr>
          <w:lang w:val="fr-FR"/>
        </w:rPr>
        <w:t xml:space="preserve"> </w:t>
      </w:r>
      <w:r w:rsidR="00637E41">
        <w:rPr>
          <w:lang w:val="fr-FR"/>
        </w:rPr>
        <w:t>actuellement</w:t>
      </w:r>
      <w:r w:rsidR="00637E41" w:rsidRPr="00637E41">
        <w:rPr>
          <w:lang w:val="fr-FR"/>
        </w:rPr>
        <w:t>) sans perte de revenu.</w:t>
      </w:r>
      <w:r w:rsidR="00637E41">
        <w:rPr>
          <w:lang w:val="fr-FR"/>
        </w:rPr>
        <w:t xml:space="preserve"> Cette réduction du temps de travail s’effectuera en 4 temps jusqu’en 2029 et concernera uniquement ceux qui le souhaitent, </w:t>
      </w:r>
      <w:r w:rsidR="00637E41" w:rsidRPr="00637E41">
        <w:rPr>
          <w:lang w:val="fr-FR"/>
        </w:rPr>
        <w:t>les salariés conservant la possibilité de travailler jusqu’à 40 heures par semaine</w:t>
      </w:r>
      <w:r w:rsidR="00565209">
        <w:rPr>
          <w:lang w:val="fr-FR"/>
        </w:rPr>
        <w:t xml:space="preserve">, avec une majoration du salaire à hauteur de </w:t>
      </w:r>
      <w:r w:rsidR="00637E41" w:rsidRPr="00637E41">
        <w:rPr>
          <w:lang w:val="fr-FR"/>
        </w:rPr>
        <w:t>14%.</w:t>
      </w:r>
      <w:r w:rsidR="00637E41">
        <w:rPr>
          <w:lang w:val="fr-FR"/>
        </w:rPr>
        <w:t xml:space="preserve"> </w:t>
      </w:r>
      <w:r w:rsidR="00565209">
        <w:rPr>
          <w:lang w:val="fr-FR"/>
        </w:rPr>
        <w:t>Le lendemain, le 27 mars, Lufthansa a</w:t>
      </w:r>
      <w:r w:rsidR="00664AE0">
        <w:rPr>
          <w:lang w:val="fr-FR"/>
        </w:rPr>
        <w:t>, à son tour,</w:t>
      </w:r>
      <w:r w:rsidR="00565209">
        <w:rPr>
          <w:lang w:val="fr-FR"/>
        </w:rPr>
        <w:t xml:space="preserve"> annoncé être parvenue à un </w:t>
      </w:r>
      <w:r w:rsidR="00664AE0">
        <w:rPr>
          <w:lang w:val="fr-FR"/>
        </w:rPr>
        <w:t>«</w:t>
      </w:r>
      <w:r w:rsidR="00664AE0">
        <w:rPr>
          <w:rFonts w:ascii="Calibri" w:hAnsi="Calibri" w:cs="Calibri"/>
          <w:lang w:val="fr-FR"/>
        </w:rPr>
        <w:t> </w:t>
      </w:r>
      <w:r w:rsidR="00565209">
        <w:rPr>
          <w:lang w:val="fr-FR"/>
        </w:rPr>
        <w:t>accord</w:t>
      </w:r>
      <w:r w:rsidR="00664AE0">
        <w:rPr>
          <w:lang w:val="fr-FR"/>
        </w:rPr>
        <w:t xml:space="preserve"> préliminaire</w:t>
      </w:r>
      <w:r w:rsidR="00664AE0">
        <w:rPr>
          <w:rFonts w:ascii="Calibri" w:hAnsi="Calibri" w:cs="Calibri"/>
          <w:lang w:val="fr-FR"/>
        </w:rPr>
        <w:t> </w:t>
      </w:r>
      <w:r w:rsidR="00664AE0">
        <w:rPr>
          <w:rFonts w:cs="Marianne Light"/>
          <w:lang w:val="fr-FR"/>
        </w:rPr>
        <w:t>»</w:t>
      </w:r>
      <w:r w:rsidR="00664AE0">
        <w:rPr>
          <w:lang w:val="fr-FR"/>
        </w:rPr>
        <w:t xml:space="preserve"> </w:t>
      </w:r>
      <w:r w:rsidR="00565209">
        <w:rPr>
          <w:lang w:val="fr-FR"/>
        </w:rPr>
        <w:t>avec</w:t>
      </w:r>
      <w:r w:rsidR="00664AE0">
        <w:rPr>
          <w:lang w:val="fr-FR"/>
        </w:rPr>
        <w:t xml:space="preserve"> les</w:t>
      </w:r>
      <w:r w:rsidR="00565209">
        <w:rPr>
          <w:lang w:val="fr-FR"/>
        </w:rPr>
        <w:t xml:space="preserve"> </w:t>
      </w:r>
      <w:r w:rsidR="00664AE0">
        <w:rPr>
          <w:lang w:val="fr-FR"/>
        </w:rPr>
        <w:t>25</w:t>
      </w:r>
      <w:r w:rsidR="00664AE0">
        <w:rPr>
          <w:rFonts w:ascii="Calibri" w:hAnsi="Calibri" w:cs="Calibri"/>
          <w:lang w:val="fr-FR"/>
        </w:rPr>
        <w:t> </w:t>
      </w:r>
      <w:r w:rsidR="00664AE0">
        <w:rPr>
          <w:lang w:val="fr-FR"/>
        </w:rPr>
        <w:t>000 employés de son</w:t>
      </w:r>
      <w:r w:rsidR="00565209">
        <w:rPr>
          <w:lang w:val="fr-FR"/>
        </w:rPr>
        <w:t xml:space="preserve"> personnel au sol</w:t>
      </w:r>
      <w:r w:rsidR="00664AE0">
        <w:rPr>
          <w:lang w:val="fr-FR"/>
        </w:rPr>
        <w:t xml:space="preserve"> représentés par le syndicat Verdi. Malgré ces deux accords significatifs, de nombreux conflits tarifaires perdurent chez les contrôleurs aériens, le personnel volant de Lufthansa ou encore les employés des transports en commun dans plusieurs villes, dont Berlin.</w:t>
      </w:r>
    </w:p>
    <w:p w14:paraId="640B8F5A" w14:textId="111B8AE3" w:rsidR="00327937" w:rsidRDefault="007B571D" w:rsidP="00327937">
      <w:pPr>
        <w:pStyle w:val="Ttitre03"/>
      </w:pPr>
      <w:bookmarkStart w:id="54" w:name="_Toc163229046"/>
      <w:bookmarkStart w:id="55" w:name="_Toc163480895"/>
      <w:bookmarkStart w:id="56" w:name="_Toc163572716"/>
      <w:bookmarkEnd w:id="53"/>
      <w:r>
        <w:t>3</w:t>
      </w:r>
      <w:r w:rsidR="00327937" w:rsidRPr="004D4AED">
        <w:t>.</w:t>
      </w:r>
      <w:r w:rsidR="00327937">
        <w:t xml:space="preserve"> </w:t>
      </w:r>
      <w:r w:rsidR="00D40A59">
        <w:t>En 2023, le</w:t>
      </w:r>
      <w:r w:rsidR="009600B1">
        <w:t xml:space="preserve"> transport fluvial </w:t>
      </w:r>
      <w:r w:rsidR="00D40A59">
        <w:t>dans une mauvaise passe</w:t>
      </w:r>
      <w:bookmarkEnd w:id="54"/>
      <w:bookmarkEnd w:id="55"/>
      <w:bookmarkEnd w:id="56"/>
    </w:p>
    <w:p w14:paraId="731D61CB" w14:textId="5B6996BB" w:rsidR="00327937" w:rsidRDefault="00D606B8" w:rsidP="00057B6D">
      <w:pPr>
        <w:pStyle w:val="BREVESECOTextecourant1"/>
        <w:spacing w:before="120"/>
        <w:ind w:left="0" w:right="0"/>
        <w:jc w:val="both"/>
        <w:rPr>
          <w:lang w:val="fr-FR"/>
        </w:rPr>
      </w:pPr>
      <w:bookmarkStart w:id="57" w:name="_Hlk163228457"/>
      <w:r>
        <w:rPr>
          <w:lang w:val="fr-FR"/>
        </w:rPr>
        <w:t xml:space="preserve">Le 25 mars, les chiffres du transport fluvial pour l’année 2023 ont été présentés par l’Office allemand des statistiques (Destatis). </w:t>
      </w:r>
      <w:r w:rsidR="00F807B2" w:rsidRPr="00F807B2">
        <w:rPr>
          <w:lang w:val="fr-FR"/>
        </w:rPr>
        <w:t xml:space="preserve">Le volume de transport sur les voies navigables allemandes a atteint un niveau </w:t>
      </w:r>
      <w:r w:rsidR="00F807B2">
        <w:rPr>
          <w:lang w:val="fr-FR"/>
        </w:rPr>
        <w:t>historiquement bas</w:t>
      </w:r>
      <w:r w:rsidR="00F807B2" w:rsidRPr="00F807B2">
        <w:rPr>
          <w:lang w:val="fr-FR"/>
        </w:rPr>
        <w:t xml:space="preserve"> l'année dernière, en raison de la </w:t>
      </w:r>
      <w:r w:rsidR="00F807B2">
        <w:rPr>
          <w:lang w:val="fr-FR"/>
        </w:rPr>
        <w:t xml:space="preserve">faible </w:t>
      </w:r>
      <w:r w:rsidR="00F807B2" w:rsidRPr="00F807B2">
        <w:rPr>
          <w:lang w:val="fr-FR"/>
        </w:rPr>
        <w:t>conjoncture économique et de la crise du bâtiment</w:t>
      </w:r>
      <w:r w:rsidR="00E341D7">
        <w:rPr>
          <w:lang w:val="fr-FR"/>
        </w:rPr>
        <w:t>, alors que le secteur du BTP est l’un des plus importants clients des armateurs fluviaux</w:t>
      </w:r>
      <w:r w:rsidR="00F807B2" w:rsidRPr="00F807B2">
        <w:rPr>
          <w:lang w:val="fr-FR"/>
        </w:rPr>
        <w:t>.</w:t>
      </w:r>
      <w:r w:rsidR="00F807B2" w:rsidRPr="00B13474">
        <w:rPr>
          <w:lang w:val="fr-FR"/>
        </w:rPr>
        <w:t xml:space="preserve"> </w:t>
      </w:r>
      <w:r w:rsidR="00F807B2" w:rsidRPr="00F807B2">
        <w:rPr>
          <w:lang w:val="fr-FR"/>
        </w:rPr>
        <w:t xml:space="preserve">Au total, 172 </w:t>
      </w:r>
      <w:r w:rsidR="00F807B2">
        <w:rPr>
          <w:lang w:val="fr-FR"/>
        </w:rPr>
        <w:t>M T</w:t>
      </w:r>
      <w:r w:rsidR="00F807B2" w:rsidRPr="00F807B2">
        <w:rPr>
          <w:lang w:val="fr-FR"/>
        </w:rPr>
        <w:t xml:space="preserve"> de marchandises ont été transportées</w:t>
      </w:r>
      <w:r w:rsidR="00F807B2">
        <w:rPr>
          <w:lang w:val="fr-FR"/>
        </w:rPr>
        <w:t xml:space="preserve"> en 2023, ce qui représente une baisse de 5,9 % par rapport à 2022, mais aussi une diminution d’un quart (25,9 %) par rapport à 1990. </w:t>
      </w:r>
      <w:r w:rsidR="00E341D7">
        <w:rPr>
          <w:lang w:val="fr-FR"/>
        </w:rPr>
        <w:t>L’étiage du Rhin en 2022, qui avait largement contraint la circulation rhénane pendant plusieurs semaines, aurait également provoqué un report modal durable vers la route et le rail chez certain</w:t>
      </w:r>
      <w:r w:rsidR="003A4CB3">
        <w:rPr>
          <w:lang w:val="fr-FR"/>
        </w:rPr>
        <w:t>s clients</w:t>
      </w:r>
      <w:r w:rsidR="00E341D7">
        <w:rPr>
          <w:lang w:val="fr-FR"/>
        </w:rPr>
        <w:t xml:space="preserve">. </w:t>
      </w:r>
      <w:r w:rsidR="00BD1D30">
        <w:rPr>
          <w:lang w:val="fr-FR"/>
        </w:rPr>
        <w:t>A moyen terme, les transporteurs fluviaux misent sur l’acheminement de marchandises lourd</w:t>
      </w:r>
      <w:r w:rsidR="003A4CB3">
        <w:rPr>
          <w:lang w:val="fr-FR"/>
        </w:rPr>
        <w:t>e</w:t>
      </w:r>
      <w:r w:rsidR="00BD1D30">
        <w:rPr>
          <w:lang w:val="fr-FR"/>
        </w:rPr>
        <w:t>s,</w:t>
      </w:r>
      <w:r w:rsidR="00BD1D30">
        <w:rPr>
          <w:rFonts w:ascii="Calibri" w:hAnsi="Calibri" w:cs="Calibri"/>
          <w:lang w:val="fr-FR"/>
        </w:rPr>
        <w:t> </w:t>
      </w:r>
      <w:r w:rsidR="00BD1D30">
        <w:rPr>
          <w:lang w:val="fr-FR"/>
        </w:rPr>
        <w:t xml:space="preserve">notamment dans le domaine des énergies renouvelables. </w:t>
      </w:r>
    </w:p>
    <w:p w14:paraId="061CE3C4" w14:textId="2C8C8468" w:rsidR="004D4AED" w:rsidRDefault="003E0A4E" w:rsidP="00AF77E1">
      <w:pPr>
        <w:pStyle w:val="Titre1"/>
      </w:pPr>
      <w:bookmarkStart w:id="58" w:name="_Toc163229047"/>
      <w:bookmarkStart w:id="59" w:name="_Toc163480896"/>
      <w:bookmarkStart w:id="60" w:name="_Toc163572717"/>
      <w:bookmarkEnd w:id="57"/>
      <w:r w:rsidRPr="003E0A4E">
        <w:lastRenderedPageBreak/>
        <w:t xml:space="preserve">Entreprises </w:t>
      </w:r>
      <w:r w:rsidR="004140EE">
        <w:br/>
      </w:r>
      <w:r w:rsidRPr="003E0A4E">
        <w:t>&amp; International</w:t>
      </w:r>
      <w:bookmarkStart w:id="61" w:name="_Toc148091900"/>
      <w:bookmarkStart w:id="62" w:name="_Toc148091926"/>
      <w:bookmarkStart w:id="63" w:name="_Toc148091949"/>
      <w:bookmarkStart w:id="64" w:name="_Toc148092159"/>
      <w:bookmarkStart w:id="65" w:name="_Toc148092200"/>
      <w:bookmarkEnd w:id="42"/>
      <w:bookmarkEnd w:id="43"/>
      <w:bookmarkEnd w:id="44"/>
      <w:bookmarkEnd w:id="45"/>
      <w:bookmarkEnd w:id="46"/>
      <w:bookmarkEnd w:id="58"/>
      <w:bookmarkEnd w:id="59"/>
      <w:bookmarkEnd w:id="60"/>
    </w:p>
    <w:p w14:paraId="0696EB47" w14:textId="49EA67A8" w:rsidR="004D4AED" w:rsidRDefault="004D4AED" w:rsidP="00184641">
      <w:pPr>
        <w:pStyle w:val="Ttitre03"/>
      </w:pPr>
      <w:bookmarkStart w:id="66" w:name="_Toc163229048"/>
      <w:bookmarkStart w:id="67" w:name="_Toc163480897"/>
      <w:bookmarkStart w:id="68" w:name="_Toc163572718"/>
      <w:r w:rsidRPr="004D4AED">
        <w:t>1.</w:t>
      </w:r>
      <w:r w:rsidR="009E797E">
        <w:t xml:space="preserve"> </w:t>
      </w:r>
      <w:r w:rsidR="009E797E" w:rsidRPr="009E797E">
        <w:t>Une nouvelle loi adoptée pour la débureaucratisation du secteur économique</w:t>
      </w:r>
      <w:bookmarkEnd w:id="66"/>
      <w:bookmarkEnd w:id="67"/>
      <w:bookmarkEnd w:id="68"/>
    </w:p>
    <w:p w14:paraId="5809ED3A" w14:textId="3924B67A" w:rsidR="009E797E" w:rsidRPr="009E797E" w:rsidRDefault="00B85D81" w:rsidP="001372E8">
      <w:pPr>
        <w:pStyle w:val="BREVESECOTextecourant1"/>
        <w:spacing w:before="120"/>
        <w:ind w:left="0" w:right="0"/>
        <w:jc w:val="both"/>
        <w:rPr>
          <w:rStyle w:val="Lienhypertexte"/>
          <w:color w:val="auto"/>
          <w:u w:val="none"/>
        </w:rPr>
      </w:pPr>
      <w:bookmarkStart w:id="69" w:name="_Hlk163228607"/>
      <w:r>
        <w:rPr>
          <w:lang w:val="fr-FR"/>
        </w:rPr>
        <w:t xml:space="preserve">Le </w:t>
      </w:r>
      <w:r w:rsidRPr="00B85D81">
        <w:t>13 mars 2024, le Bundeskabinett a été adopté une quatrième loi sur l’allègement de la bureaucratie (BEG IV)</w:t>
      </w:r>
      <w:r>
        <w:t>. Le</w:t>
      </w:r>
      <w:r w:rsidRPr="00B85D81">
        <w:t xml:space="preserve"> sujet est l’une des priorités du Ministère fédéral de l'Économie et de la Protection du Climat de Robert Habeck (verts). La BEG IV se veut présenter une avancée importante en matière de simplification administrative pour les entreprises et mobilise une enveloppe de 19 </w:t>
      </w:r>
      <w:r w:rsidR="00912BC4">
        <w:t>Mio</w:t>
      </w:r>
      <w:r w:rsidRPr="00B85D81">
        <w:t xml:space="preserve"> d’euros sur une période de trois ans et demi. </w:t>
      </w:r>
      <w:r>
        <w:t>Le</w:t>
      </w:r>
      <w:r w:rsidRPr="00B85D81">
        <w:t xml:space="preserve"> paquet de mesures </w:t>
      </w:r>
      <w:r>
        <w:t>inclut</w:t>
      </w:r>
      <w:r w:rsidRPr="00B85D81">
        <w:t xml:space="preserve"> un examen systématique des obligations d'information relevant du ministère, ainsi que des vérifications </w:t>
      </w:r>
      <w:r>
        <w:t>visant à l’</w:t>
      </w:r>
      <w:r w:rsidRPr="00B85D81">
        <w:t>identifi</w:t>
      </w:r>
      <w:r>
        <w:t>cation</w:t>
      </w:r>
      <w:r w:rsidRPr="00B85D81">
        <w:t xml:space="preserve"> et </w:t>
      </w:r>
      <w:r>
        <w:t>la résolution</w:t>
      </w:r>
      <w:r w:rsidRPr="00B85D81">
        <w:t xml:space="preserve"> les obstacles bureaucratiques spécifiques à certains investissements (start-ups, technologies innovantes), notamment dans le domaine du développement durable. Alors que la réglementation européenne prévoit un élargissement des obligations déclaratives pour les entreprises de l’Union, la BEG IV devrait permettre un soutien </w:t>
      </w:r>
      <w:r>
        <w:t xml:space="preserve">pratique </w:t>
      </w:r>
      <w:r w:rsidRPr="00B85D81">
        <w:t>aux entreprises allemandes en ce sens.</w:t>
      </w:r>
    </w:p>
    <w:p w14:paraId="4CC9B9A0" w14:textId="790BE2D5" w:rsidR="004D4AED" w:rsidRDefault="00A75F01" w:rsidP="00AF77E1">
      <w:pPr>
        <w:pStyle w:val="Ttitre03"/>
        <w:rPr>
          <w:rStyle w:val="Lienhypertexte"/>
          <w:color w:val="6D6DFF" w:themeColor="text1" w:themeTint="66"/>
          <w:u w:val="none"/>
        </w:rPr>
      </w:pPr>
      <w:bookmarkStart w:id="70" w:name="_Toc163229049"/>
      <w:bookmarkStart w:id="71" w:name="_Toc163480898"/>
      <w:bookmarkStart w:id="72" w:name="_Toc163572719"/>
      <w:bookmarkEnd w:id="69"/>
      <w:r w:rsidRPr="006168DC">
        <w:rPr>
          <w:rStyle w:val="Lienhypertexte"/>
          <w:color w:val="6D6DFF" w:themeColor="text1" w:themeTint="66"/>
          <w:u w:val="none"/>
        </w:rPr>
        <w:t>2</w:t>
      </w:r>
      <w:r w:rsidR="009E797E">
        <w:rPr>
          <w:rStyle w:val="Lienhypertexte"/>
          <w:color w:val="6D6DFF" w:themeColor="text1" w:themeTint="66"/>
          <w:u w:val="none"/>
        </w:rPr>
        <w:t xml:space="preserve">. </w:t>
      </w:r>
      <w:r w:rsidR="009E797E" w:rsidRPr="009E797E">
        <w:rPr>
          <w:rStyle w:val="Lienhypertexte"/>
          <w:color w:val="6D6DFF" w:themeColor="text1" w:themeTint="66"/>
          <w:u w:val="none"/>
        </w:rPr>
        <w:t>Le Ministre Habeck prend position pour le futur de l’industrie militaire allemande</w:t>
      </w:r>
      <w:bookmarkEnd w:id="70"/>
      <w:bookmarkEnd w:id="71"/>
      <w:bookmarkEnd w:id="72"/>
      <w:r w:rsidR="00DE5888">
        <w:rPr>
          <w:rStyle w:val="Lienhypertexte"/>
          <w:color w:val="6D6DFF" w:themeColor="text1" w:themeTint="66"/>
          <w:u w:val="none"/>
        </w:rPr>
        <w:t xml:space="preserve"> </w:t>
      </w:r>
    </w:p>
    <w:p w14:paraId="79E7503B" w14:textId="77777777" w:rsidR="009E797E" w:rsidRDefault="009E797E" w:rsidP="001372E8">
      <w:pPr>
        <w:pStyle w:val="BREVESECOTextecourant1"/>
        <w:spacing w:before="120"/>
        <w:ind w:left="0" w:right="0"/>
        <w:jc w:val="both"/>
      </w:pPr>
      <w:r w:rsidRPr="009E797E">
        <w:t>Le ministre de l'Économie, Robert Habeck (verts) souhaite renforcer les capacités industrielles allemandes dans un monde en crise</w:t>
      </w:r>
      <w:r>
        <w:t xml:space="preserve">, en lançant </w:t>
      </w:r>
      <w:r w:rsidRPr="009E797E">
        <w:t>un cycle de plusieurs réunions rassemblant les ministères de la défense et des finances ainsi que les grandes entreprises du secteur</w:t>
      </w:r>
      <w:r>
        <w:t xml:space="preserve"> de l’armement</w:t>
      </w:r>
      <w:r w:rsidRPr="009E797E">
        <w:t>. Le premier rendez-vous tenu à huis clos, a réuni Rheinmetall, Rohde &amp; Schwarz, MBDA, Hensoldt, Quantum-Systems ou encore Helsing.</w:t>
      </w:r>
    </w:p>
    <w:p w14:paraId="33171265" w14:textId="479CE3DF" w:rsidR="003872CE" w:rsidRPr="001372E8" w:rsidRDefault="009E797E" w:rsidP="001372E8">
      <w:pPr>
        <w:pStyle w:val="BREVESECOTextecourant1"/>
        <w:spacing w:before="120"/>
        <w:ind w:left="0" w:right="0"/>
        <w:jc w:val="both"/>
        <w:rPr>
          <w:rStyle w:val="Lienhypertexte"/>
          <w:color w:val="auto"/>
          <w:u w:val="none"/>
        </w:rPr>
      </w:pPr>
      <w:r>
        <w:t>Si l</w:t>
      </w:r>
      <w:r w:rsidRPr="009E797E">
        <w:t>es besoins de sécurisation et la planification des productions ont été abordés</w:t>
      </w:r>
      <w:r>
        <w:t>, l</w:t>
      </w:r>
      <w:r w:rsidRPr="009E797E">
        <w:t>e ministre souhaite particulièrement promouvoir la recherche militaire en faveur de l’innovation</w:t>
      </w:r>
      <w:r>
        <w:t xml:space="preserve">. Les </w:t>
      </w:r>
      <w:r w:rsidRPr="009E797E">
        <w:t>systèmes de cybersécurité, d’intelligence artificielle ou d’interception numérique</w:t>
      </w:r>
      <w:r>
        <w:t xml:space="preserve"> seront ainsi clés pour le futur de l’industrie allemande</w:t>
      </w:r>
      <w:r w:rsidR="00690AD2">
        <w:t xml:space="preserve">. </w:t>
      </w:r>
      <w:r w:rsidRPr="009E797E">
        <w:t xml:space="preserve">L’Allemagne compte des start-ups fortement positionnées </w:t>
      </w:r>
      <w:r w:rsidR="00690AD2">
        <w:t xml:space="preserve">en ce sens, </w:t>
      </w:r>
      <w:r w:rsidRPr="009E797E">
        <w:t>avec des spécialistes de l’IA comme Helsing et des développeurs de drones comme Quantum Systems</w:t>
      </w:r>
      <w:r w:rsidR="00690AD2">
        <w:t>. L</w:t>
      </w:r>
      <w:r w:rsidRPr="009E797E">
        <w:t>e ministre Habeck souhaite</w:t>
      </w:r>
      <w:r w:rsidR="00690AD2">
        <w:t xml:space="preserve"> également</w:t>
      </w:r>
      <w:r w:rsidRPr="009E797E">
        <w:t xml:space="preserve"> favoriser une plus grande porosité entre la recherche civile et militaire</w:t>
      </w:r>
      <w:r w:rsidR="00690AD2">
        <w:t xml:space="preserve">, </w:t>
      </w:r>
      <w:r w:rsidR="00690AD2" w:rsidRPr="00690AD2">
        <w:t xml:space="preserve">étant par ailleurs que </w:t>
      </w:r>
      <w:r w:rsidR="00690AD2">
        <w:t>la Bundeswehr, en bout de chaine, profite trop tardivement des</w:t>
      </w:r>
      <w:r w:rsidR="00690AD2" w:rsidRPr="00690AD2">
        <w:t xml:space="preserve"> nouvelles technologies</w:t>
      </w:r>
      <w:r w:rsidR="00690AD2">
        <w:t>.</w:t>
      </w:r>
      <w:r w:rsidR="00DE0B71">
        <w:t xml:space="preserve"> </w:t>
      </w:r>
      <w:r w:rsidRPr="009E797E">
        <w:t xml:space="preserve">Les enjeux futurs de l’industrie militaire se font également ressentir en termes économiques, alors que l'industrie de la défense mobilise 136 000 personnes en Allemagne pour un chiffre d'affaires de 30 </w:t>
      </w:r>
      <w:r w:rsidR="00912BC4">
        <w:t>Md</w:t>
      </w:r>
      <w:r w:rsidRPr="009E797E">
        <w:t xml:space="preserve">s d'euros, et que 80% des 100 </w:t>
      </w:r>
      <w:r w:rsidR="00912BC4">
        <w:t>Md</w:t>
      </w:r>
      <w:r w:rsidRPr="009E797E">
        <w:t>s d'euros du fonds spécial destiné à la Bundeswehr ont été déjà engagés.</w:t>
      </w:r>
    </w:p>
    <w:p w14:paraId="5FF51375" w14:textId="17631D6A" w:rsidR="00EF7520" w:rsidRDefault="00EF7520" w:rsidP="00CF0B22">
      <w:pPr>
        <w:pStyle w:val="Ttitre03"/>
      </w:pPr>
      <w:bookmarkStart w:id="73" w:name="_Toc163229050"/>
      <w:bookmarkStart w:id="74" w:name="_Toc163480899"/>
      <w:bookmarkStart w:id="75" w:name="_Toc163572720"/>
      <w:r w:rsidRPr="00EF7520">
        <w:t xml:space="preserve">3. </w:t>
      </w:r>
      <w:r w:rsidR="00C56C79">
        <w:t>Rheinmetall augmente significativement sa production d’artillerie</w:t>
      </w:r>
      <w:bookmarkEnd w:id="73"/>
      <w:bookmarkEnd w:id="74"/>
      <w:bookmarkEnd w:id="75"/>
    </w:p>
    <w:p w14:paraId="07836C16" w14:textId="52A5A459" w:rsidR="00C56C79" w:rsidRPr="00C56C79" w:rsidRDefault="00C56C79" w:rsidP="00DE0B71">
      <w:pPr>
        <w:pStyle w:val="BREVESECOTextecourant1"/>
        <w:spacing w:before="120"/>
        <w:ind w:left="0" w:right="0"/>
        <w:jc w:val="both"/>
      </w:pPr>
      <w:r w:rsidRPr="00C56C79">
        <w:t xml:space="preserve">Rheinmetall annonce un investissement de 300 </w:t>
      </w:r>
      <w:r w:rsidR="00912BC4">
        <w:t>Mio</w:t>
      </w:r>
      <w:r w:rsidRPr="00C56C79">
        <w:t xml:space="preserve"> d'euros dans une nouvelle usine d'obus d'artillerie, inaugurée par le chancelier allemand Olaf Scholz. Située à Unterlüss, la nouvelle usine emploiera près de 500 salariés et pourra produire jusqu’à 200 000 obus d'artillerie par an et 1 900 tonnes d'explosifs. </w:t>
      </w:r>
      <w:r>
        <w:t>Des capacités qui pourraient bientôt supplanter la production des Etats-Unis.</w:t>
      </w:r>
      <w:r w:rsidR="00DE0B71">
        <w:t xml:space="preserve"> </w:t>
      </w:r>
      <w:r w:rsidRPr="00C56C79">
        <w:t>Rheinmetall a</w:t>
      </w:r>
      <w:r>
        <w:t xml:space="preserve"> en </w:t>
      </w:r>
      <w:r w:rsidR="00E218DA">
        <w:rPr>
          <w:lang w:val="fr-FR"/>
        </w:rPr>
        <w:t>e</w:t>
      </w:r>
      <w:r w:rsidRPr="00B13474">
        <w:rPr>
          <w:lang w:val="fr-FR"/>
        </w:rPr>
        <w:t>ffet</w:t>
      </w:r>
      <w:r w:rsidRPr="00C56C79">
        <w:t xml:space="preserve"> vu sa demande exploser depuis le début de la guerre en Ukraine, avec des commandes totalisant 10 </w:t>
      </w:r>
      <w:r w:rsidR="00912BC4">
        <w:t>Md</w:t>
      </w:r>
      <w:r w:rsidRPr="00C56C79">
        <w:t xml:space="preserve">s d'euros l'an dernier, et une prévision de 15 </w:t>
      </w:r>
      <w:r w:rsidR="00912BC4">
        <w:t>Md</w:t>
      </w:r>
      <w:r w:rsidRPr="00C56C79">
        <w:t xml:space="preserve">s pour 2024. Le chiffre d'affaires devrait également dépasser les 10 </w:t>
      </w:r>
      <w:r w:rsidR="00912BC4">
        <w:t>Md</w:t>
      </w:r>
      <w:r w:rsidRPr="00C56C79">
        <w:t xml:space="preserve">s d'euros en 2024 et jusqu’à 14 </w:t>
      </w:r>
      <w:r w:rsidR="00912BC4">
        <w:t>Md</w:t>
      </w:r>
      <w:r w:rsidRPr="00C56C79">
        <w:t>s en 2026. La croissance rapide de Rheinmetall bénéficie tient notamment à la production de munitions d'artillerie, dont l’augmentation annuelle des revenus est estimée à 25 % jusqu’en 2026.</w:t>
      </w:r>
      <w:r w:rsidR="00DE0B71">
        <w:t xml:space="preserve"> </w:t>
      </w:r>
      <w:r w:rsidRPr="00C56C79">
        <w:t>Le défi le plus important concerne cependant la production de poudre, dont Rheinmetall projette de doubler à minima sa capacité de production. La capacité de production d'obus de 155 millimètres devrait quant à elle passer de 350 000 par an (2023) à environ 700 000 par an en 2025</w:t>
      </w:r>
      <w:r>
        <w:t xml:space="preserve">. </w:t>
      </w:r>
      <w:r w:rsidRPr="00C56C79">
        <w:t xml:space="preserve">Alors </w:t>
      </w:r>
      <w:r w:rsidRPr="00C56C79">
        <w:lastRenderedPageBreak/>
        <w:t>que l'industrie de la défense reçoit désormais des financements massifs, le temps est devenu un facteur critique.</w:t>
      </w:r>
    </w:p>
    <w:p w14:paraId="69203DF7" w14:textId="66F02FEF" w:rsidR="00EF7520" w:rsidRDefault="00EF7520" w:rsidP="00184641">
      <w:pPr>
        <w:pStyle w:val="Ttitre03"/>
      </w:pPr>
      <w:bookmarkStart w:id="76" w:name="_Toc163229051"/>
      <w:bookmarkStart w:id="77" w:name="_Toc163480900"/>
      <w:bookmarkStart w:id="78" w:name="_Toc163572721"/>
      <w:r w:rsidRPr="00EF7520">
        <w:t xml:space="preserve">4. </w:t>
      </w:r>
      <w:r w:rsidR="007A5054">
        <w:t xml:space="preserve">Voyage de Robert Habeck aux Etats-Unis pour promouvoir notamment un </w:t>
      </w:r>
      <w:r w:rsidR="007A5054" w:rsidRPr="007A5054">
        <w:t>mini libre-échange</w:t>
      </w:r>
      <w:r w:rsidR="007A5054">
        <w:t xml:space="preserve"> avec l’UE</w:t>
      </w:r>
      <w:bookmarkEnd w:id="76"/>
      <w:bookmarkEnd w:id="77"/>
      <w:bookmarkEnd w:id="78"/>
    </w:p>
    <w:p w14:paraId="4AB7764F" w14:textId="77777777" w:rsidR="007A5054" w:rsidRDefault="007A5054" w:rsidP="007A5054">
      <w:pPr>
        <w:pStyle w:val="BREVESECOTextecourant1"/>
        <w:spacing w:before="120"/>
        <w:ind w:left="0" w:right="0"/>
        <w:jc w:val="both"/>
        <w:rPr>
          <w:lang w:val="fr-FR"/>
        </w:rPr>
      </w:pPr>
      <w:r w:rsidRPr="007A5054">
        <w:rPr>
          <w:lang w:val="fr-FR"/>
        </w:rPr>
        <w:t xml:space="preserve">Le Ministre de l’économie et de la protection du climat (BMWK) et vice-chancelier Robert Habeck s’est rendu aux Etats-Unis entre le 6 et le 9 mars où il a notamment rencontré la secrétaire au Commerce Gina Raimondo, la secrétaire au Trésor Janet Yellen et la secrétaire à l'Énergie Jennifer Granholm. </w:t>
      </w:r>
    </w:p>
    <w:p w14:paraId="4831CE83" w14:textId="023BEDA4" w:rsidR="007A5054" w:rsidRPr="007A5054" w:rsidRDefault="007A5054" w:rsidP="007A5054">
      <w:pPr>
        <w:pStyle w:val="BREVESECOTextecourant1"/>
        <w:spacing w:before="120"/>
        <w:ind w:left="0" w:right="0"/>
        <w:jc w:val="both"/>
        <w:rPr>
          <w:lang w:val="fr-FR"/>
        </w:rPr>
      </w:pPr>
      <w:r w:rsidRPr="007A5054">
        <w:rPr>
          <w:lang w:val="fr-FR"/>
        </w:rPr>
        <w:t xml:space="preserve">Ce voyage, largement commenté par la presse nationale, a permis au ministre de rappeler les liens économiques étroits nouant les deux pays en cette </w:t>
      </w:r>
      <w:bookmarkStart w:id="79" w:name="_Hlk163572062"/>
      <w:r w:rsidRPr="007A5054">
        <w:rPr>
          <w:lang w:val="fr-FR"/>
        </w:rPr>
        <w:t xml:space="preserve">période préélectorale américaine, Robert Habeck défendant « une sorte de mini libre-échange » entre l’Europe et les Etats-Unis. Les dissensions existant en matière de protection climatique ou d’aide à l’Ukraine ont également été commentées par le ministre, qui veut proposer des solutions concrètes pour </w:t>
      </w:r>
      <w:bookmarkStart w:id="80" w:name="_Hlk163571931"/>
      <w:r w:rsidRPr="007A5054">
        <w:rPr>
          <w:lang w:val="fr-FR"/>
        </w:rPr>
        <w:t>les contourner. R. Habeck a fait apparaitre les risques d’un retour de D</w:t>
      </w:r>
      <w:r>
        <w:rPr>
          <w:lang w:val="fr-FR"/>
        </w:rPr>
        <w:t>onald</w:t>
      </w:r>
      <w:r w:rsidRPr="007A5054">
        <w:rPr>
          <w:lang w:val="fr-FR"/>
        </w:rPr>
        <w:t xml:space="preserve"> Trump qui avait « fondamentalement détruit » lors de son premier mandat tout ce qui existait à l’époque en termes de formats communs</w:t>
      </w:r>
      <w:r>
        <w:rPr>
          <w:lang w:val="fr-FR"/>
        </w:rPr>
        <w:t>.</w:t>
      </w:r>
      <w:bookmarkEnd w:id="80"/>
      <w:bookmarkEnd w:id="79"/>
    </w:p>
    <w:p w14:paraId="6C214E07" w14:textId="3140703F" w:rsidR="00E21CE0" w:rsidRPr="00E21CE0" w:rsidRDefault="00E21CE0" w:rsidP="00E21CE0">
      <w:pPr>
        <w:pStyle w:val="Ttitre03"/>
      </w:pPr>
      <w:bookmarkStart w:id="81" w:name="_Toc163572722"/>
      <w:r>
        <w:t xml:space="preserve">5. </w:t>
      </w:r>
      <w:r w:rsidRPr="00E21CE0">
        <w:t>Novo Nordisk rachète Cardior</w:t>
      </w:r>
      <w:bookmarkEnd w:id="81"/>
    </w:p>
    <w:p w14:paraId="54BB42FA" w14:textId="77777777" w:rsidR="00E21CE0" w:rsidRPr="00E21CE0" w:rsidRDefault="00E21CE0" w:rsidP="00E21CE0">
      <w:pPr>
        <w:pStyle w:val="BREVESECOTextecourant1"/>
        <w:spacing w:before="120"/>
        <w:ind w:left="0" w:right="0"/>
        <w:jc w:val="both"/>
        <w:rPr>
          <w:lang w:val="fr-FR"/>
        </w:rPr>
      </w:pPr>
      <w:r w:rsidRPr="00E21CE0">
        <w:rPr>
          <w:lang w:val="fr-FR"/>
        </w:rPr>
        <w:t>Novo Nordisk, le géant du pharma danois, s’apprête à racheter Cardior, une entreprise de biotech allemande. Novo Nordisk, connu pour son médicament phare Ozempic, espère ainsi acquérir un médicament prometteur dans la lutte contre l’insuffisance cardiaque, élaboré à partir de la composante CDR132L. Les instances règlementaires doivent encore donner leur accord pour que la transaction puisse avoir lieu au deuxième trimestre. L’acquisition permettrait à Novo Nordisk d’accélérer le processus de développement du médicament dans sa phase finale et surtout de faire des tests sur une population plus large.</w:t>
      </w:r>
      <w:r w:rsidRPr="00E21CE0">
        <w:rPr>
          <w:rFonts w:ascii="Calibri" w:hAnsi="Calibri" w:cs="Calibri"/>
          <w:lang w:val="fr-FR"/>
        </w:rPr>
        <w:t> </w:t>
      </w:r>
    </w:p>
    <w:p w14:paraId="2DB2ACEB" w14:textId="0D857546" w:rsidR="00E21CE0" w:rsidRDefault="00E21CE0" w:rsidP="007A5054">
      <w:pPr>
        <w:pStyle w:val="BREVESECOTextecourant1"/>
        <w:spacing w:before="120"/>
        <w:ind w:left="0" w:right="0"/>
        <w:jc w:val="both"/>
        <w:rPr>
          <w:lang w:val="fr-FR"/>
        </w:rPr>
      </w:pPr>
      <w:r w:rsidRPr="00E21CE0">
        <w:rPr>
          <w:lang w:val="fr-FR"/>
        </w:rPr>
        <w:t xml:space="preserve">Ce projet de rachat reflète une stratégie plus large de Novo Nordisk, qui souhaite étendre son champ de compétences vers les médicaments cardiologiques. En octobre dernier, le groupe danois avait déjà racheté Ocedurenone, un candidat-médicament à fort potentiel. Fondé en 2016 par Claudia Ulbrich et Thomas Thum, Cardior avait réussi par le passé de récolter des fonds à hauteur de 64 </w:t>
      </w:r>
      <w:r w:rsidR="00912BC4">
        <w:rPr>
          <w:lang w:val="fr-FR"/>
        </w:rPr>
        <w:t>Mio.</w:t>
      </w:r>
      <w:r w:rsidRPr="00E21CE0">
        <w:rPr>
          <w:lang w:val="fr-FR"/>
        </w:rPr>
        <w:t xml:space="preserve"> d’euros pour le développement de médicaments. L’entreprise avait notamment été sélectionnée comme un des espoirs du secteur allemand des biotechnologies.</w:t>
      </w:r>
      <w:r w:rsidRPr="00E21CE0">
        <w:rPr>
          <w:rFonts w:ascii="Calibri" w:hAnsi="Calibri" w:cs="Calibri"/>
          <w:lang w:val="fr-FR"/>
        </w:rPr>
        <w:t> </w:t>
      </w:r>
    </w:p>
    <w:p w14:paraId="0E24733E" w14:textId="56A62344" w:rsidR="00E21CE0" w:rsidRPr="00E21CE0" w:rsidRDefault="00E21CE0" w:rsidP="00E21CE0">
      <w:pPr>
        <w:pStyle w:val="Ttitre03"/>
      </w:pPr>
      <w:bookmarkStart w:id="82" w:name="_Toc163572723"/>
      <w:r>
        <w:t xml:space="preserve">6. </w:t>
      </w:r>
      <w:r w:rsidRPr="00E21CE0">
        <w:t>Baisse record du chiffre d’affaire de Bio</w:t>
      </w:r>
      <w:r w:rsidR="00912BC4">
        <w:t>N</w:t>
      </w:r>
      <w:r w:rsidRPr="00E21CE0">
        <w:t>tech</w:t>
      </w:r>
      <w:bookmarkEnd w:id="82"/>
    </w:p>
    <w:p w14:paraId="2765C573" w14:textId="2BA318BF" w:rsidR="00E21CE0" w:rsidRDefault="00E21CE0" w:rsidP="00E21CE0">
      <w:pPr>
        <w:pStyle w:val="BREVESECOTextecourant1"/>
        <w:spacing w:before="120"/>
        <w:ind w:left="0" w:right="0"/>
        <w:jc w:val="both"/>
        <w:rPr>
          <w:lang w:val="fr-FR"/>
        </w:rPr>
      </w:pPr>
      <w:r w:rsidRPr="00E21CE0">
        <w:rPr>
          <w:lang w:val="fr-FR"/>
        </w:rPr>
        <w:t>L’entreprise allemande Bio</w:t>
      </w:r>
      <w:r w:rsidR="00912BC4">
        <w:rPr>
          <w:lang w:val="fr-FR"/>
        </w:rPr>
        <w:t>N</w:t>
      </w:r>
      <w:r w:rsidRPr="00E21CE0">
        <w:rPr>
          <w:lang w:val="fr-FR"/>
        </w:rPr>
        <w:t xml:space="preserve">tech a annoncé avoir généré un bénéfice de 3,8 </w:t>
      </w:r>
      <w:r w:rsidR="00912BC4">
        <w:rPr>
          <w:lang w:val="fr-FR"/>
        </w:rPr>
        <w:t>Md</w:t>
      </w:r>
      <w:r w:rsidRPr="00E21CE0">
        <w:rPr>
          <w:lang w:val="fr-FR"/>
        </w:rPr>
        <w:t xml:space="preserve">s d’euros en 2023, un chiffre en baisse de 78% en comparaison avec 2022. Cette tendance devrait continuer en 2024 et potentiellement en 2025. Le chiffre s’explique principalement par le fait que le vaccin Comirnaty contre le Covid-19 était le principal moteur des ventes de l’entreprises ces dernières années. Depuis, </w:t>
      </w:r>
      <w:r w:rsidR="00912BC4" w:rsidRPr="00E21CE0">
        <w:rPr>
          <w:lang w:val="fr-FR"/>
        </w:rPr>
        <w:t>Bio</w:t>
      </w:r>
      <w:r w:rsidR="00912BC4">
        <w:rPr>
          <w:lang w:val="fr-FR"/>
        </w:rPr>
        <w:t>N</w:t>
      </w:r>
      <w:r w:rsidR="00912BC4" w:rsidRPr="00E21CE0">
        <w:rPr>
          <w:lang w:val="fr-FR"/>
        </w:rPr>
        <w:t>Tech</w:t>
      </w:r>
      <w:r w:rsidRPr="00E21CE0">
        <w:rPr>
          <w:lang w:val="fr-FR"/>
        </w:rPr>
        <w:t xml:space="preserve"> a investi dans des activités de recherche et développement dans la lutte contre le cancer, et souhaite également commercialiser un vaccin conjoint contre la grippe et le Covid, dont la mise sur le marché espérée prochainement devrait rassurer les investisseurs déçus par les chiffres décevants du début d’année. Les cadres de </w:t>
      </w:r>
      <w:r w:rsidR="00912BC4" w:rsidRPr="00E21CE0">
        <w:rPr>
          <w:lang w:val="fr-FR"/>
        </w:rPr>
        <w:t>Bio</w:t>
      </w:r>
      <w:r w:rsidR="00912BC4">
        <w:rPr>
          <w:lang w:val="fr-FR"/>
        </w:rPr>
        <w:t>N</w:t>
      </w:r>
      <w:r w:rsidR="00912BC4" w:rsidRPr="00E21CE0">
        <w:rPr>
          <w:lang w:val="fr-FR"/>
        </w:rPr>
        <w:t>Tech</w:t>
      </w:r>
      <w:r w:rsidRPr="00E21CE0">
        <w:rPr>
          <w:lang w:val="fr-FR"/>
        </w:rPr>
        <w:t xml:space="preserve"> restent cependant confiants, et veulent profiter des revenus du vaccin Covid pour approfondir le développement d’une thérapie contre le cancer</w:t>
      </w:r>
      <w:r w:rsidRPr="00E21CE0">
        <w:rPr>
          <w:rFonts w:ascii="Calibri" w:hAnsi="Calibri" w:cs="Calibri"/>
          <w:lang w:val="fr-FR"/>
        </w:rPr>
        <w:t> </w:t>
      </w:r>
      <w:r w:rsidRPr="00E21CE0">
        <w:rPr>
          <w:lang w:val="fr-FR"/>
        </w:rPr>
        <w:t>: si les d</w:t>
      </w:r>
      <w:r w:rsidRPr="00E21CE0">
        <w:rPr>
          <w:rFonts w:cs="Marianne Light"/>
          <w:lang w:val="fr-FR"/>
        </w:rPr>
        <w:t>é</w:t>
      </w:r>
      <w:r w:rsidRPr="00E21CE0">
        <w:rPr>
          <w:lang w:val="fr-FR"/>
        </w:rPr>
        <w:t>penses de R&amp;D en 2023 s</w:t>
      </w:r>
      <w:r w:rsidRPr="00E21CE0">
        <w:rPr>
          <w:rFonts w:cs="Marianne Light"/>
          <w:lang w:val="fr-FR"/>
        </w:rPr>
        <w:t>’é</w:t>
      </w:r>
      <w:r w:rsidRPr="00E21CE0">
        <w:rPr>
          <w:lang w:val="fr-FR"/>
        </w:rPr>
        <w:t xml:space="preserve">levaient </w:t>
      </w:r>
      <w:r w:rsidRPr="00E21CE0">
        <w:rPr>
          <w:rFonts w:cs="Marianne Light"/>
          <w:lang w:val="fr-FR"/>
        </w:rPr>
        <w:t>à</w:t>
      </w:r>
      <w:r w:rsidRPr="00E21CE0">
        <w:rPr>
          <w:lang w:val="fr-FR"/>
        </w:rPr>
        <w:t xml:space="preserve"> 1,78 </w:t>
      </w:r>
      <w:r w:rsidR="00912BC4">
        <w:rPr>
          <w:lang w:val="fr-FR"/>
        </w:rPr>
        <w:t>Md</w:t>
      </w:r>
      <w:r w:rsidRPr="00E21CE0">
        <w:rPr>
          <w:lang w:val="fr-FR"/>
        </w:rPr>
        <w:t>s d</w:t>
      </w:r>
      <w:r w:rsidRPr="00E21CE0">
        <w:rPr>
          <w:rFonts w:cs="Marianne Light"/>
          <w:lang w:val="fr-FR"/>
        </w:rPr>
        <w:t>’</w:t>
      </w:r>
      <w:r w:rsidRPr="00E21CE0">
        <w:rPr>
          <w:lang w:val="fr-FR"/>
        </w:rPr>
        <w:t xml:space="preserve">euros, </w:t>
      </w:r>
      <w:r w:rsidR="00912BC4" w:rsidRPr="00E21CE0">
        <w:rPr>
          <w:lang w:val="fr-FR"/>
        </w:rPr>
        <w:t>Bio</w:t>
      </w:r>
      <w:r w:rsidR="00912BC4">
        <w:rPr>
          <w:lang w:val="fr-FR"/>
        </w:rPr>
        <w:t>N</w:t>
      </w:r>
      <w:r w:rsidR="00912BC4" w:rsidRPr="00E21CE0">
        <w:rPr>
          <w:lang w:val="fr-FR"/>
        </w:rPr>
        <w:t>Tech</w:t>
      </w:r>
      <w:r w:rsidRPr="00E21CE0">
        <w:rPr>
          <w:lang w:val="fr-FR"/>
        </w:rPr>
        <w:t xml:space="preserve"> veut investir jusqu’à 2,6 </w:t>
      </w:r>
      <w:r w:rsidR="00912BC4">
        <w:rPr>
          <w:lang w:val="fr-FR"/>
        </w:rPr>
        <w:t>Md</w:t>
      </w:r>
      <w:r w:rsidRPr="00E21CE0">
        <w:rPr>
          <w:lang w:val="fr-FR"/>
        </w:rPr>
        <w:t>s en 2024.</w:t>
      </w:r>
      <w:r w:rsidRPr="00E21CE0">
        <w:rPr>
          <w:rFonts w:ascii="Calibri" w:hAnsi="Calibri" w:cs="Calibri"/>
          <w:lang w:val="fr-FR"/>
        </w:rPr>
        <w:t> </w:t>
      </w:r>
      <w:r w:rsidRPr="00E21CE0">
        <w:rPr>
          <w:lang w:val="fr-FR"/>
        </w:rPr>
        <w:t xml:space="preserve"> </w:t>
      </w:r>
    </w:p>
    <w:p w14:paraId="137A8A2E" w14:textId="04552DE2" w:rsidR="00E21CE0" w:rsidRDefault="00E21CE0" w:rsidP="00E21CE0">
      <w:pPr>
        <w:pStyle w:val="BREVESECOTextecourant1"/>
        <w:spacing w:before="120"/>
        <w:ind w:left="0" w:right="0"/>
        <w:jc w:val="both"/>
        <w:rPr>
          <w:lang w:val="fr-FR"/>
        </w:rPr>
      </w:pPr>
    </w:p>
    <w:p w14:paraId="345D67CC" w14:textId="550307A4" w:rsidR="00E21CE0" w:rsidRDefault="00E21CE0" w:rsidP="00E21CE0">
      <w:pPr>
        <w:pStyle w:val="BREVESECOTextecourant1"/>
        <w:spacing w:before="120"/>
        <w:ind w:left="0" w:right="0"/>
        <w:jc w:val="both"/>
        <w:rPr>
          <w:lang w:val="fr-FR"/>
        </w:rPr>
      </w:pPr>
    </w:p>
    <w:p w14:paraId="128A18BC" w14:textId="79F5D157" w:rsidR="00E21CE0" w:rsidRDefault="00E21CE0" w:rsidP="00E21CE0">
      <w:pPr>
        <w:pStyle w:val="Ttitre03"/>
      </w:pPr>
      <w:bookmarkStart w:id="83" w:name="_Toc163572724"/>
      <w:r>
        <w:t xml:space="preserve">7. </w:t>
      </w:r>
      <w:bookmarkEnd w:id="83"/>
      <w:r w:rsidR="00E85E98" w:rsidRPr="00E85E98">
        <w:t>Le gouvernement fédéral renonce au soutien de l’industrie photovoltaïque</w:t>
      </w:r>
    </w:p>
    <w:p w14:paraId="4B01EC77" w14:textId="3A45CD33" w:rsidR="00E67DC2" w:rsidRPr="00E67DC2" w:rsidRDefault="00ED164C" w:rsidP="00E67DC2">
      <w:pPr>
        <w:autoSpaceDE w:val="0"/>
        <w:autoSpaceDN w:val="0"/>
        <w:spacing w:before="40" w:after="40" w:line="240" w:lineRule="auto"/>
        <w:jc w:val="both"/>
        <w:rPr>
          <w:rFonts w:ascii="Marianne Light" w:hAnsi="Marianne Light"/>
        </w:rPr>
      </w:pPr>
      <w:r>
        <w:rPr>
          <w:rFonts w:ascii="Marianne Light" w:hAnsi="Marianne Light"/>
        </w:rPr>
        <w:t>L</w:t>
      </w:r>
      <w:r w:rsidR="00E67DC2" w:rsidRPr="00E67DC2">
        <w:rPr>
          <w:rFonts w:ascii="Marianne Light" w:hAnsi="Marianne Light"/>
        </w:rPr>
        <w:t>e BMWK a annoncé officiellement le 28 mars l’abandon de la prime de résilience (</w:t>
      </w:r>
      <w:r w:rsidR="00E67DC2" w:rsidRPr="00E67DC2">
        <w:rPr>
          <w:rFonts w:ascii="Marianne Light" w:hAnsi="Marianne Light"/>
          <w:i/>
          <w:iCs/>
        </w:rPr>
        <w:t>Resilienzbonus</w:t>
      </w:r>
      <w:r w:rsidR="00E67DC2" w:rsidRPr="00E67DC2">
        <w:rPr>
          <w:rFonts w:ascii="Marianne Light" w:hAnsi="Marianne Light"/>
        </w:rPr>
        <w:t xml:space="preserve">) pour l'industrie </w:t>
      </w:r>
      <w:r w:rsidR="00E67DC2" w:rsidRPr="00E67DC2">
        <w:rPr>
          <w:rFonts w:ascii="Marianne Light" w:hAnsi="Marianne Light"/>
        </w:rPr>
        <w:lastRenderedPageBreak/>
        <w:t xml:space="preserve">solaire. Le </w:t>
      </w:r>
      <w:r w:rsidR="00E67DC2" w:rsidRPr="00E67DC2">
        <w:rPr>
          <w:rFonts w:ascii="Marianne Light" w:hAnsi="Marianne Light"/>
          <w:i/>
          <w:iCs/>
        </w:rPr>
        <w:t>Resilienzbonus</w:t>
      </w:r>
      <w:r w:rsidR="00E67DC2" w:rsidRPr="00E67DC2">
        <w:rPr>
          <w:rFonts w:ascii="Marianne Light" w:hAnsi="Marianne Light"/>
        </w:rPr>
        <w:t xml:space="preserve"> devait récompenser l'utilisation de composants provenant d'Allemagne ou d'Europe - et ce par une rémunération plus élevée pour l'électricité vendue par les centrales solaires. Au sein de la coalition </w:t>
      </w:r>
      <w:r w:rsidR="00E67DC2" w:rsidRPr="008A5142">
        <w:rPr>
          <w:rFonts w:ascii="Marianne Light" w:hAnsi="Marianne Light"/>
          <w:i/>
          <w:iCs/>
        </w:rPr>
        <w:t>Ampel</w:t>
      </w:r>
      <w:r w:rsidR="00E67DC2" w:rsidRPr="00E67DC2">
        <w:rPr>
          <w:rFonts w:ascii="Marianne Light" w:hAnsi="Marianne Light"/>
        </w:rPr>
        <w:t xml:space="preserve">, le FDP s’est montré opposé à ce dispositif, craignant une distorsion du marché et des installations solaires coûteuses. Le chancelier Olaf Scholz (SPD) s'était lui aussi fermement opposé récemment aux subventions pour la production d'énergie estimant que le versement au début de subventions élevées sans dégressivité avait été une erreur dans la promotion de l'énergie solaire en Allemagne. Le BMWK avait souhaité soutenir les industriels du solaire en raison des importations à bas prix en provenance de Chine qui mettent à mal de nombreux fabricants européens. Suite à cette annonce, l'entreprise solaire Mayer Burger, qui avait fait dépendre l’avenir de </w:t>
      </w:r>
      <w:r w:rsidR="00E21CE0" w:rsidRPr="00E21CE0">
        <w:rPr>
          <w:rFonts w:ascii="Marianne Light" w:hAnsi="Marianne Light"/>
        </w:rPr>
        <w:t xml:space="preserve">son site de Freiberg </w:t>
      </w:r>
      <w:r w:rsidR="00E67DC2" w:rsidRPr="00E67DC2">
        <w:rPr>
          <w:rFonts w:ascii="Marianne Light" w:hAnsi="Marianne Light"/>
        </w:rPr>
        <w:t xml:space="preserve">à ce soutien, a désormais pris la décision </w:t>
      </w:r>
      <w:r>
        <w:rPr>
          <w:rFonts w:ascii="Marianne Light" w:hAnsi="Marianne Light"/>
        </w:rPr>
        <w:t xml:space="preserve">de fermeture </w:t>
      </w:r>
      <w:r w:rsidR="00E67DC2" w:rsidRPr="00E67DC2">
        <w:rPr>
          <w:rFonts w:ascii="Marianne Light" w:hAnsi="Marianne Light"/>
        </w:rPr>
        <w:t xml:space="preserve">définitive de l’usine, déjà à l’arrêt depuis   </w:t>
      </w:r>
      <w:r w:rsidR="00E21CE0" w:rsidRPr="00E21CE0">
        <w:rPr>
          <w:rFonts w:ascii="Marianne Light" w:hAnsi="Marianne Light"/>
        </w:rPr>
        <w:t>mi-mars</w:t>
      </w:r>
      <w:r w:rsidR="00E67DC2" w:rsidRPr="00E67DC2">
        <w:rPr>
          <w:rFonts w:ascii="Marianne Light" w:hAnsi="Marianne Light"/>
        </w:rPr>
        <w:t>.</w:t>
      </w:r>
      <w:r w:rsidR="00E21CE0" w:rsidRPr="00E21CE0">
        <w:rPr>
          <w:rFonts w:ascii="Marianne Light" w:hAnsi="Marianne Light"/>
        </w:rPr>
        <w:t xml:space="preserve"> Meyer-Burger était l'une des dernières entreprises de production de panneaux photovoltaïques en Europe grâce à la technologie de pointe Heterojunction/Smartwire qu'elle a elle-même développé et que la plupart des constructeurs utilisent aujourd’hui.</w:t>
      </w:r>
    </w:p>
    <w:p w14:paraId="4FCCBBED" w14:textId="611858ED" w:rsidR="00E21CE0" w:rsidRPr="001053ED" w:rsidRDefault="00E67DC2" w:rsidP="001053ED">
      <w:pPr>
        <w:autoSpaceDE w:val="0"/>
        <w:autoSpaceDN w:val="0"/>
        <w:spacing w:before="40" w:after="40" w:line="240" w:lineRule="auto"/>
        <w:jc w:val="both"/>
        <w:rPr>
          <w:rFonts w:ascii="Marianne Light" w:hAnsi="Marianne Light"/>
        </w:rPr>
      </w:pPr>
      <w:r w:rsidRPr="00E67DC2">
        <w:rPr>
          <w:rFonts w:ascii="Marianne Light" w:hAnsi="Marianne Light"/>
        </w:rPr>
        <w:t>Le BMWK s’attèle maintenant à soutenir autrement cette industrie très en difficulté en Allemagne en étudiant les possibilités de soutien alternatif au niveau européen, en orientant davantage de fonds issus de l’aide économique régional vers le secteur de l’énergie solaire et en utilisant davantage le financement par crédit de la banque publique KfW.</w:t>
      </w:r>
      <w:r>
        <w:rPr>
          <w:rFonts w:ascii="Marianne Light" w:hAnsi="Marianne Light"/>
        </w:rPr>
        <w:t xml:space="preserve"> </w:t>
      </w:r>
    </w:p>
    <w:p w14:paraId="532B8B07" w14:textId="7A090C82" w:rsidR="00B8421D" w:rsidRDefault="00B8421D" w:rsidP="00AF77E1">
      <w:pPr>
        <w:pStyle w:val="Titre1"/>
      </w:pPr>
      <w:bookmarkStart w:id="84" w:name="_Toc163229052"/>
      <w:bookmarkStart w:id="85" w:name="_Toc163480901"/>
      <w:bookmarkStart w:id="86" w:name="_Toc163572725"/>
      <w:r>
        <w:t xml:space="preserve">Numérique </w:t>
      </w:r>
      <w:r w:rsidR="004140EE">
        <w:br/>
      </w:r>
      <w:r>
        <w:t>&amp; Innovation</w:t>
      </w:r>
      <w:bookmarkEnd w:id="61"/>
      <w:bookmarkEnd w:id="62"/>
      <w:bookmarkEnd w:id="63"/>
      <w:bookmarkEnd w:id="64"/>
      <w:bookmarkEnd w:id="65"/>
      <w:bookmarkEnd w:id="84"/>
      <w:bookmarkEnd w:id="85"/>
      <w:bookmarkEnd w:id="86"/>
    </w:p>
    <w:p w14:paraId="04D6E064" w14:textId="77777777" w:rsidR="0093382A" w:rsidRDefault="00325A81" w:rsidP="00091AFA">
      <w:pPr>
        <w:pStyle w:val="Ttitre03"/>
        <w:numPr>
          <w:ilvl w:val="0"/>
          <w:numId w:val="37"/>
        </w:numPr>
        <w:spacing w:after="0"/>
      </w:pPr>
      <w:bookmarkStart w:id="87" w:name="_Toc163572726"/>
      <w:r>
        <w:t>Le gouvernement</w:t>
      </w:r>
      <w:r w:rsidRPr="00325A81">
        <w:t xml:space="preserve"> </w:t>
      </w:r>
      <w:r>
        <w:t>commande un cloud sécurisé au fournisseur allemand Ionos</w:t>
      </w:r>
      <w:bookmarkEnd w:id="87"/>
      <w:r w:rsidRPr="00325A81">
        <w:t xml:space="preserve"> </w:t>
      </w:r>
      <w:bookmarkStart w:id="88" w:name="_Toc163229054"/>
      <w:bookmarkStart w:id="89" w:name="_Toc163480903"/>
    </w:p>
    <w:p w14:paraId="0F568876" w14:textId="502FF215" w:rsidR="001053ED" w:rsidRPr="00091AFA" w:rsidRDefault="00325A81" w:rsidP="00091AFA">
      <w:pPr>
        <w:pStyle w:val="Ttitre03"/>
        <w:spacing w:after="0"/>
        <w:jc w:val="both"/>
      </w:pPr>
      <w:bookmarkStart w:id="90" w:name="_Toc163572727"/>
      <w:r w:rsidRPr="00325A81">
        <w:rPr>
          <w:rFonts w:ascii="Marianne Light" w:eastAsiaTheme="minorHAnsi" w:hAnsi="Marianne Light" w:cstheme="minorBidi"/>
          <w:noProof w:val="0"/>
          <w:color w:val="auto"/>
          <w:sz w:val="22"/>
        </w:rPr>
        <w:t xml:space="preserve">Le fournisseur de cloud allemand Ionos a reçu une commande importante de l'administration fédérale pour la mise en place d'une solution de cloud informatique sécurisée. L’appel d’offres </w:t>
      </w:r>
      <w:r w:rsidR="00374D53">
        <w:rPr>
          <w:rFonts w:ascii="Marianne Light" w:eastAsiaTheme="minorHAnsi" w:hAnsi="Marianne Light" w:cstheme="minorBidi"/>
          <w:noProof w:val="0"/>
          <w:color w:val="auto"/>
          <w:sz w:val="22"/>
        </w:rPr>
        <w:t>initial</w:t>
      </w:r>
      <w:r w:rsidRPr="00325A81">
        <w:rPr>
          <w:rFonts w:ascii="Marianne Light" w:eastAsiaTheme="minorHAnsi" w:hAnsi="Marianne Light" w:cstheme="minorBidi"/>
          <w:noProof w:val="0"/>
          <w:color w:val="auto"/>
          <w:sz w:val="22"/>
        </w:rPr>
        <w:t xml:space="preserve"> mentionnait un plafond de 410 </w:t>
      </w:r>
      <w:r w:rsidR="00912BC4">
        <w:rPr>
          <w:rFonts w:ascii="Marianne Light" w:eastAsiaTheme="minorHAnsi" w:hAnsi="Marianne Light" w:cstheme="minorBidi"/>
          <w:noProof w:val="0"/>
          <w:color w:val="auto"/>
          <w:sz w:val="22"/>
        </w:rPr>
        <w:t>Mio.</w:t>
      </w:r>
      <w:r w:rsidRPr="00325A81">
        <w:rPr>
          <w:rFonts w:ascii="Marianne Light" w:eastAsiaTheme="minorHAnsi" w:hAnsi="Marianne Light" w:cstheme="minorBidi"/>
          <w:noProof w:val="0"/>
          <w:color w:val="auto"/>
          <w:sz w:val="22"/>
        </w:rPr>
        <w:t xml:space="preserve"> d’euros. </w:t>
      </w:r>
      <w:r>
        <w:rPr>
          <w:rFonts w:ascii="Marianne Light" w:eastAsiaTheme="minorHAnsi" w:hAnsi="Marianne Light" w:cstheme="minorBidi"/>
          <w:noProof w:val="0"/>
          <w:color w:val="auto"/>
          <w:sz w:val="22"/>
        </w:rPr>
        <w:t>Ce «</w:t>
      </w:r>
      <w:r>
        <w:rPr>
          <w:rFonts w:ascii="Calibri" w:eastAsiaTheme="minorHAnsi" w:hAnsi="Calibri" w:cs="Calibri"/>
          <w:noProof w:val="0"/>
          <w:color w:val="auto"/>
          <w:sz w:val="22"/>
        </w:rPr>
        <w:t> </w:t>
      </w:r>
      <w:r>
        <w:rPr>
          <w:rFonts w:ascii="Marianne Light" w:eastAsiaTheme="minorHAnsi" w:hAnsi="Marianne Light" w:cstheme="minorBidi"/>
          <w:noProof w:val="0"/>
          <w:color w:val="auto"/>
          <w:sz w:val="22"/>
        </w:rPr>
        <w:t>cloud privé</w:t>
      </w:r>
      <w:r>
        <w:rPr>
          <w:rFonts w:ascii="Calibri" w:eastAsiaTheme="minorHAnsi" w:hAnsi="Calibri" w:cs="Calibri"/>
          <w:noProof w:val="0"/>
          <w:color w:val="auto"/>
          <w:sz w:val="22"/>
        </w:rPr>
        <w:t> </w:t>
      </w:r>
      <w:r>
        <w:rPr>
          <w:rFonts w:ascii="Marianne Light" w:eastAsiaTheme="minorHAnsi" w:hAnsi="Marianne Light" w:cs="Marianne Light"/>
          <w:noProof w:val="0"/>
          <w:color w:val="auto"/>
          <w:sz w:val="22"/>
        </w:rPr>
        <w:t>»</w:t>
      </w:r>
      <w:r>
        <w:rPr>
          <w:rFonts w:ascii="Marianne Light" w:eastAsiaTheme="minorHAnsi" w:hAnsi="Marianne Light" w:cstheme="minorBidi"/>
          <w:noProof w:val="0"/>
          <w:color w:val="auto"/>
          <w:sz w:val="22"/>
        </w:rPr>
        <w:t xml:space="preserve"> d’entreprise certifié par l’Office fédérale de la sécurité des technologies de l’information (</w:t>
      </w:r>
      <w:r w:rsidRPr="00374D53">
        <w:rPr>
          <w:rFonts w:ascii="Marianne Light" w:eastAsiaTheme="minorHAnsi" w:hAnsi="Marianne Light" w:cstheme="minorBidi"/>
          <w:i/>
          <w:iCs/>
          <w:noProof w:val="0"/>
          <w:color w:val="auto"/>
          <w:sz w:val="22"/>
        </w:rPr>
        <w:t>BSI</w:t>
      </w:r>
      <w:r>
        <w:rPr>
          <w:rFonts w:ascii="Marianne Light" w:eastAsiaTheme="minorHAnsi" w:hAnsi="Marianne Light" w:cstheme="minorBidi"/>
          <w:noProof w:val="0"/>
          <w:color w:val="auto"/>
          <w:sz w:val="22"/>
        </w:rPr>
        <w:t>) doit notamment être utilisé dans les centres informatiques du centre de technologie de l’information d’Allemagne (</w:t>
      </w:r>
      <w:r w:rsidRPr="00374D53">
        <w:rPr>
          <w:rFonts w:ascii="Marianne Light" w:eastAsiaTheme="minorHAnsi" w:hAnsi="Marianne Light" w:cstheme="minorBidi"/>
          <w:i/>
          <w:iCs/>
          <w:noProof w:val="0"/>
          <w:color w:val="auto"/>
          <w:sz w:val="22"/>
        </w:rPr>
        <w:t>ITZBund</w:t>
      </w:r>
      <w:r>
        <w:rPr>
          <w:rFonts w:ascii="Marianne Light" w:eastAsiaTheme="minorHAnsi" w:hAnsi="Marianne Light" w:cstheme="minorBidi"/>
          <w:noProof w:val="0"/>
          <w:color w:val="auto"/>
          <w:sz w:val="22"/>
        </w:rPr>
        <w:t xml:space="preserve">). Ionos a </w:t>
      </w:r>
      <w:r w:rsidR="00374D53">
        <w:rPr>
          <w:rFonts w:ascii="Marianne Light" w:eastAsiaTheme="minorHAnsi" w:hAnsi="Marianne Light" w:cstheme="minorBidi"/>
          <w:noProof w:val="0"/>
          <w:color w:val="auto"/>
          <w:sz w:val="22"/>
        </w:rPr>
        <w:t>remporté</w:t>
      </w:r>
      <w:r>
        <w:rPr>
          <w:rFonts w:ascii="Marianne Light" w:eastAsiaTheme="minorHAnsi" w:hAnsi="Marianne Light" w:cstheme="minorBidi"/>
          <w:noProof w:val="0"/>
          <w:color w:val="auto"/>
          <w:sz w:val="22"/>
        </w:rPr>
        <w:t xml:space="preserve"> cette commande grâce </w:t>
      </w:r>
      <w:r w:rsidR="00374D53">
        <w:rPr>
          <w:rFonts w:ascii="Marianne Light" w:eastAsiaTheme="minorHAnsi" w:hAnsi="Marianne Light" w:cstheme="minorBidi"/>
          <w:noProof w:val="0"/>
          <w:color w:val="auto"/>
          <w:sz w:val="22"/>
        </w:rPr>
        <w:t>à sa technologie de</w:t>
      </w:r>
      <w:r>
        <w:rPr>
          <w:rFonts w:ascii="Marianne Light" w:eastAsiaTheme="minorHAnsi" w:hAnsi="Marianne Light" w:cstheme="minorBidi"/>
          <w:noProof w:val="0"/>
          <w:color w:val="auto"/>
          <w:sz w:val="22"/>
        </w:rPr>
        <w:t xml:space="preserve"> «</w:t>
      </w:r>
      <w:r>
        <w:rPr>
          <w:rFonts w:ascii="Calibri" w:eastAsiaTheme="minorHAnsi" w:hAnsi="Calibri" w:cs="Calibri"/>
          <w:noProof w:val="0"/>
          <w:color w:val="auto"/>
          <w:sz w:val="22"/>
        </w:rPr>
        <w:t> </w:t>
      </w:r>
      <w:r w:rsidRPr="00374D53">
        <w:rPr>
          <w:rFonts w:ascii="Marianne Light" w:eastAsiaTheme="minorHAnsi" w:hAnsi="Marianne Light" w:cstheme="minorBidi"/>
          <w:i/>
          <w:iCs/>
          <w:noProof w:val="0"/>
          <w:color w:val="auto"/>
          <w:sz w:val="22"/>
        </w:rPr>
        <w:t>air gapping</w:t>
      </w:r>
      <w:r>
        <w:rPr>
          <w:rFonts w:ascii="Calibri" w:eastAsiaTheme="minorHAnsi" w:hAnsi="Calibri" w:cs="Calibri"/>
          <w:noProof w:val="0"/>
          <w:color w:val="auto"/>
          <w:sz w:val="22"/>
        </w:rPr>
        <w:t> </w:t>
      </w:r>
      <w:r>
        <w:rPr>
          <w:rFonts w:ascii="Marianne Light" w:eastAsiaTheme="minorHAnsi" w:hAnsi="Marianne Light" w:cs="Marianne Light"/>
          <w:noProof w:val="0"/>
          <w:color w:val="auto"/>
          <w:sz w:val="22"/>
        </w:rPr>
        <w:t>»</w:t>
      </w:r>
      <w:r>
        <w:rPr>
          <w:rFonts w:ascii="Marianne Light" w:eastAsiaTheme="minorHAnsi" w:hAnsi="Marianne Light" w:cstheme="minorBidi"/>
          <w:noProof w:val="0"/>
          <w:color w:val="auto"/>
          <w:sz w:val="22"/>
        </w:rPr>
        <w:t xml:space="preserve"> qui </w:t>
      </w:r>
      <w:r w:rsidR="00374D53">
        <w:rPr>
          <w:rFonts w:ascii="Marianne Light" w:eastAsiaTheme="minorHAnsi" w:hAnsi="Marianne Light" w:cstheme="minorBidi"/>
          <w:noProof w:val="0"/>
          <w:color w:val="auto"/>
          <w:sz w:val="22"/>
        </w:rPr>
        <w:t>permet</w:t>
      </w:r>
      <w:r>
        <w:rPr>
          <w:rFonts w:ascii="Marianne Light" w:eastAsiaTheme="minorHAnsi" w:hAnsi="Marianne Light" w:cstheme="minorBidi"/>
          <w:noProof w:val="0"/>
          <w:color w:val="auto"/>
          <w:sz w:val="22"/>
        </w:rPr>
        <w:t xml:space="preserve"> de séparer les ordinateurs des réseaux</w:t>
      </w:r>
      <w:r w:rsidR="00374D53">
        <w:rPr>
          <w:rFonts w:ascii="Marianne Light" w:eastAsiaTheme="minorHAnsi" w:hAnsi="Marianne Light" w:cstheme="minorBidi"/>
          <w:noProof w:val="0"/>
          <w:color w:val="auto"/>
          <w:sz w:val="22"/>
        </w:rPr>
        <w:t>,</w:t>
      </w:r>
      <w:r>
        <w:rPr>
          <w:rFonts w:ascii="Marianne Light" w:eastAsiaTheme="minorHAnsi" w:hAnsi="Marianne Light" w:cstheme="minorBidi"/>
          <w:noProof w:val="0"/>
          <w:color w:val="auto"/>
          <w:sz w:val="22"/>
        </w:rPr>
        <w:t xml:space="preserve"> </w:t>
      </w:r>
      <w:r w:rsidR="00374D53">
        <w:rPr>
          <w:rFonts w:ascii="Marianne Light" w:eastAsiaTheme="minorHAnsi" w:hAnsi="Marianne Light" w:cstheme="minorBidi"/>
          <w:noProof w:val="0"/>
          <w:color w:val="auto"/>
          <w:sz w:val="22"/>
        </w:rPr>
        <w:t>bloquant</w:t>
      </w:r>
      <w:r>
        <w:rPr>
          <w:rFonts w:ascii="Marianne Light" w:eastAsiaTheme="minorHAnsi" w:hAnsi="Marianne Light" w:cstheme="minorBidi"/>
          <w:noProof w:val="0"/>
          <w:color w:val="auto"/>
          <w:sz w:val="22"/>
        </w:rPr>
        <w:t xml:space="preserve"> l’accès des personnes extérieures aux informations </w:t>
      </w:r>
      <w:r w:rsidR="00374D53">
        <w:rPr>
          <w:rFonts w:ascii="Marianne Light" w:eastAsiaTheme="minorHAnsi" w:hAnsi="Marianne Light" w:cstheme="minorBidi"/>
          <w:noProof w:val="0"/>
          <w:color w:val="auto"/>
          <w:sz w:val="22"/>
        </w:rPr>
        <w:t>internes</w:t>
      </w:r>
      <w:r>
        <w:rPr>
          <w:rFonts w:ascii="Marianne Light" w:eastAsiaTheme="minorHAnsi" w:hAnsi="Marianne Light" w:cstheme="minorBidi"/>
          <w:noProof w:val="0"/>
          <w:color w:val="auto"/>
          <w:sz w:val="22"/>
        </w:rPr>
        <w:t xml:space="preserve">. </w:t>
      </w:r>
      <w:r w:rsidRPr="00325A81">
        <w:rPr>
          <w:rFonts w:ascii="Marianne Light" w:eastAsiaTheme="minorHAnsi" w:hAnsi="Marianne Light" w:cstheme="minorBidi"/>
          <w:noProof w:val="0"/>
          <w:color w:val="auto"/>
          <w:sz w:val="22"/>
        </w:rPr>
        <w:t xml:space="preserve">Les utilisateurs de l'administration </w:t>
      </w:r>
      <w:r>
        <w:rPr>
          <w:rFonts w:ascii="Marianne Light" w:eastAsiaTheme="minorHAnsi" w:hAnsi="Marianne Light" w:cstheme="minorBidi"/>
          <w:noProof w:val="0"/>
          <w:color w:val="auto"/>
          <w:sz w:val="22"/>
        </w:rPr>
        <w:t>vont ainsi acc</w:t>
      </w:r>
      <w:r w:rsidR="00374D53">
        <w:rPr>
          <w:rFonts w:ascii="Marianne Light" w:eastAsiaTheme="minorHAnsi" w:hAnsi="Marianne Light" w:cstheme="minorBidi"/>
          <w:noProof w:val="0"/>
          <w:color w:val="auto"/>
          <w:sz w:val="22"/>
        </w:rPr>
        <w:t xml:space="preserve">éder </w:t>
      </w:r>
      <w:r w:rsidRPr="00325A81">
        <w:rPr>
          <w:rFonts w:ascii="Marianne Light" w:eastAsiaTheme="minorHAnsi" w:hAnsi="Marianne Light" w:cstheme="minorBidi"/>
          <w:noProof w:val="0"/>
          <w:color w:val="auto"/>
          <w:sz w:val="22"/>
        </w:rPr>
        <w:t>au "cloud privé" via les réseaux de données blindés et sécurisés de la Confédération.</w:t>
      </w:r>
      <w:r w:rsidR="00AD5C0A" w:rsidRPr="00AD5C0A">
        <w:t xml:space="preserve"> </w:t>
      </w:r>
      <w:r w:rsidR="00AD5C0A" w:rsidRPr="00AD5C0A">
        <w:rPr>
          <w:rFonts w:ascii="Marianne Light" w:eastAsiaTheme="minorHAnsi" w:hAnsi="Marianne Light" w:cstheme="minorBidi"/>
          <w:noProof w:val="0"/>
          <w:color w:val="auto"/>
          <w:sz w:val="22"/>
        </w:rPr>
        <w:t>"Proposer une telle plateforme en tant que solution air-gapped en dehors de ses propres centres de données est une exigence complexe que peu de fournisseurs peuvent satisfaire", a déclaré Achim Weiß, CEO de</w:t>
      </w:r>
      <w:r w:rsidR="00374D53">
        <w:rPr>
          <w:rFonts w:ascii="Marianne Light" w:eastAsiaTheme="minorHAnsi" w:hAnsi="Marianne Light" w:cstheme="minorBidi"/>
          <w:noProof w:val="0"/>
          <w:color w:val="auto"/>
          <w:sz w:val="22"/>
        </w:rPr>
        <w:t xml:space="preserve"> Ionos.</w:t>
      </w:r>
      <w:bookmarkEnd w:id="90"/>
      <w:r w:rsidR="00374D53">
        <w:rPr>
          <w:rFonts w:ascii="Marianne Light" w:eastAsiaTheme="minorHAnsi" w:hAnsi="Marianne Light" w:cstheme="minorBidi"/>
          <w:noProof w:val="0"/>
          <w:color w:val="auto"/>
          <w:sz w:val="22"/>
        </w:rPr>
        <w:t xml:space="preserve"> </w:t>
      </w:r>
    </w:p>
    <w:p w14:paraId="52307ED1" w14:textId="523ACEFD" w:rsidR="00401341" w:rsidRPr="004A2794" w:rsidRDefault="00AD5C0A" w:rsidP="005575CA">
      <w:pPr>
        <w:pStyle w:val="Ttitre03"/>
        <w:numPr>
          <w:ilvl w:val="0"/>
          <w:numId w:val="37"/>
        </w:numPr>
      </w:pPr>
      <w:bookmarkStart w:id="91" w:name="_Toc163572728"/>
      <w:bookmarkEnd w:id="88"/>
      <w:bookmarkEnd w:id="89"/>
      <w:r>
        <w:t>L</w:t>
      </w:r>
      <w:r w:rsidR="005575CA">
        <w:t>es start-ups solaires ont le vent en poupe</w:t>
      </w:r>
      <w:r w:rsidR="005575CA">
        <w:rPr>
          <w:rFonts w:ascii="Calibri" w:hAnsi="Calibri" w:cs="Calibri"/>
        </w:rPr>
        <w:t> </w:t>
      </w:r>
      <w:r w:rsidR="005575CA">
        <w:t>: Après Enpal et 1Komma5, Zolar s’assure un crédit de 100 M d’euros.</w:t>
      </w:r>
      <w:bookmarkEnd w:id="91"/>
    </w:p>
    <w:p w14:paraId="3D6AD026" w14:textId="64BCE0EC" w:rsidR="003872CE" w:rsidRDefault="00AD5C0A" w:rsidP="003872CE">
      <w:pPr>
        <w:pStyle w:val="BREVESECOTextecourant1"/>
        <w:spacing w:before="120"/>
        <w:ind w:left="0" w:right="0"/>
        <w:jc w:val="both"/>
        <w:rPr>
          <w:lang w:val="fr-FR"/>
        </w:rPr>
      </w:pPr>
      <w:r>
        <w:rPr>
          <w:lang w:val="fr-FR"/>
        </w:rPr>
        <w:t xml:space="preserve">La start-up berlinoise Zolar s’est assurée un crédit de 100 </w:t>
      </w:r>
      <w:r w:rsidR="00912BC4">
        <w:rPr>
          <w:lang w:val="fr-FR"/>
        </w:rPr>
        <w:t>Mio</w:t>
      </w:r>
      <w:r>
        <w:rPr>
          <w:lang w:val="fr-FR"/>
        </w:rPr>
        <w:t xml:space="preserve"> d’euros </w:t>
      </w:r>
      <w:r w:rsidR="00374D53">
        <w:rPr>
          <w:lang w:val="fr-FR"/>
        </w:rPr>
        <w:t>dans l’objectif</w:t>
      </w:r>
      <w:r>
        <w:rPr>
          <w:lang w:val="fr-FR"/>
        </w:rPr>
        <w:t xml:space="preserve"> de financer son nouveau modèle d’achat à </w:t>
      </w:r>
      <w:r w:rsidR="00374D53">
        <w:rPr>
          <w:lang w:val="fr-FR"/>
        </w:rPr>
        <w:t>tempérament</w:t>
      </w:r>
      <w:r>
        <w:rPr>
          <w:lang w:val="fr-FR"/>
        </w:rPr>
        <w:t>. Le distributeur de produits solaires</w:t>
      </w:r>
      <w:r w:rsidR="00374D53">
        <w:rPr>
          <w:lang w:val="fr-FR"/>
        </w:rPr>
        <w:t>,</w:t>
      </w:r>
      <w:r>
        <w:rPr>
          <w:lang w:val="fr-FR"/>
        </w:rPr>
        <w:t xml:space="preserve"> fondé en 2016</w:t>
      </w:r>
      <w:r w:rsidR="00374D53">
        <w:rPr>
          <w:lang w:val="fr-FR"/>
        </w:rPr>
        <w:t>,</w:t>
      </w:r>
      <w:r>
        <w:rPr>
          <w:lang w:val="fr-FR"/>
        </w:rPr>
        <w:t xml:space="preserve"> développe une platefor</w:t>
      </w:r>
      <w:r w:rsidR="0093382A">
        <w:rPr>
          <w:lang w:val="fr-FR"/>
        </w:rPr>
        <w:t>m</w:t>
      </w:r>
      <w:r>
        <w:rPr>
          <w:lang w:val="fr-FR"/>
        </w:rPr>
        <w:t xml:space="preserve">e en ligne sur laquelle les propriétaires peuvent composer leur installation photovoltaïque. </w:t>
      </w:r>
      <w:r w:rsidR="0093382A" w:rsidRPr="0093382A">
        <w:rPr>
          <w:lang w:val="fr-FR"/>
        </w:rPr>
        <w:t>Depuis le début de la guerre en Ukraine, les plateformes solaires comme Zolar, Enpal ou 1Komma5 Grad ont le vent en poupe</w:t>
      </w:r>
      <w:r w:rsidR="005575CA">
        <w:rPr>
          <w:lang w:val="fr-FR"/>
        </w:rPr>
        <w:t>, ce qui a facilité l’accès de ces start-ups de la Greentech à</w:t>
      </w:r>
      <w:r w:rsidR="0093382A" w:rsidRPr="0093382A">
        <w:rPr>
          <w:lang w:val="fr-FR"/>
        </w:rPr>
        <w:t xml:space="preserve"> des fonds importants. Ce n'est que récemment qu'Enpal, le leader du marché, a annoncé l'octroi de crédits pour plus d'un </w:t>
      </w:r>
      <w:r w:rsidR="00912BC4">
        <w:rPr>
          <w:lang w:val="fr-FR"/>
        </w:rPr>
        <w:lastRenderedPageBreak/>
        <w:t>Md</w:t>
      </w:r>
      <w:r w:rsidR="0093382A" w:rsidRPr="0093382A">
        <w:rPr>
          <w:lang w:val="fr-FR"/>
        </w:rPr>
        <w:t xml:space="preserve"> d'euros. Enpal entend ainsi acheter davantage d'installations solaires et stimuler ainsi son chiffre d'affaires. La demande d'installations solaires a augmenté de manière drastique en raison de la crise énergétique d'il y a deux ans et demi. Mais le secteur craint une baisse des achats en raison de l'inflation, de la hausse des taux d'intérêt et de l'opacité de la politique de soutien du gouvernement fédéral. C'est pourquoi Enpal et Zolar tentent de relancer les ventes avec de nouveaux modèles de vente à tempérament.</w:t>
      </w:r>
    </w:p>
    <w:p w14:paraId="654BFBBE" w14:textId="2F0592DF" w:rsidR="00AD5C0A" w:rsidRDefault="00AD5C0A" w:rsidP="003872CE">
      <w:pPr>
        <w:pStyle w:val="BREVESECOTextecourant1"/>
        <w:spacing w:before="120"/>
        <w:ind w:left="0" w:right="0"/>
        <w:jc w:val="both"/>
        <w:rPr>
          <w:lang w:val="fr-FR"/>
        </w:rPr>
      </w:pPr>
    </w:p>
    <w:p w14:paraId="03E04F9B" w14:textId="4F5A9193" w:rsidR="00FC2725" w:rsidRDefault="00FC2725" w:rsidP="00EF7520">
      <w:pPr>
        <w:jc w:val="both"/>
        <w:rPr>
          <w:rFonts w:ascii="Marianne Light" w:hAnsi="Marianne Light"/>
        </w:rPr>
      </w:pPr>
    </w:p>
    <w:p w14:paraId="608F8AF1" w14:textId="7DD237E2" w:rsidR="00FC2725" w:rsidRDefault="00FC2725" w:rsidP="00EF7520">
      <w:pPr>
        <w:jc w:val="both"/>
        <w:rPr>
          <w:rFonts w:ascii="Marianne Light" w:hAnsi="Marianne Light"/>
        </w:rPr>
      </w:pPr>
    </w:p>
    <w:p w14:paraId="04B6CE5E" w14:textId="7417A9F6" w:rsidR="00FC2725" w:rsidRDefault="00FC2725" w:rsidP="00EF7520">
      <w:pPr>
        <w:jc w:val="both"/>
        <w:rPr>
          <w:rFonts w:ascii="Marianne Light" w:hAnsi="Marianne Light"/>
        </w:rPr>
      </w:pPr>
    </w:p>
    <w:p w14:paraId="4AE03CF3" w14:textId="178F166A" w:rsidR="00FC2725" w:rsidRDefault="00FC2725" w:rsidP="00EF7520">
      <w:pPr>
        <w:jc w:val="both"/>
        <w:rPr>
          <w:rFonts w:ascii="Marianne Light" w:hAnsi="Marianne Light"/>
        </w:rPr>
      </w:pPr>
    </w:p>
    <w:p w14:paraId="675B95B4" w14:textId="3F8B193F" w:rsidR="00FC2725" w:rsidRDefault="00FC2725" w:rsidP="00EF7520">
      <w:pPr>
        <w:jc w:val="both"/>
        <w:rPr>
          <w:rFonts w:ascii="Marianne Light" w:hAnsi="Marianne Light"/>
        </w:rPr>
      </w:pPr>
    </w:p>
    <w:p w14:paraId="347357C8" w14:textId="17899548" w:rsidR="00EF7520" w:rsidRPr="00EF7520" w:rsidRDefault="00FC2725" w:rsidP="00AF77E1">
      <w:pPr>
        <w:pStyle w:val="Ttitre03"/>
      </w:pPr>
      <w:bookmarkStart w:id="92" w:name="_Toc148364383"/>
      <w:bookmarkStart w:id="93" w:name="_Toc148370657"/>
      <w:bookmarkStart w:id="94" w:name="_Toc153793160"/>
      <w:bookmarkStart w:id="95" w:name="_Toc163229056"/>
      <w:bookmarkStart w:id="96" w:name="_Toc163480905"/>
      <w:bookmarkStart w:id="97" w:name="_Toc163572729"/>
      <w:r>
        <mc:AlternateContent>
          <mc:Choice Requires="wps">
            <w:drawing>
              <wp:anchor distT="0" distB="0" distL="114300" distR="114300" simplePos="0" relativeHeight="251658243" behindDoc="1" locked="0" layoutInCell="1" allowOverlap="1" wp14:anchorId="29FC1A7A" wp14:editId="1B9F12E1">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8F9E3" w14:textId="77777777" w:rsidR="00FC2725" w:rsidRPr="00EE5287" w:rsidRDefault="00FC2725" w:rsidP="00FC272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9" w:history="1">
                              <w:r w:rsidRPr="00EE5287">
                                <w:rPr>
                                  <w:rStyle w:val="Lienhypertexte"/>
                                  <w:rFonts w:ascii="Marianne" w:hAnsi="Marianne"/>
                                  <w:sz w:val="20"/>
                                  <w:szCs w:val="20"/>
                                </w:rPr>
                                <w:t>www.tresor.economie.gouv.fr/tresor-international</w:t>
                              </w:r>
                            </w:hyperlink>
                          </w:p>
                          <w:p w14:paraId="45173243" w14:textId="77777777" w:rsidR="00FC2725" w:rsidRPr="00EE5287" w:rsidRDefault="00FC2725" w:rsidP="00FC2725">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Pr>
                                <w:rFonts w:ascii="Calibri" w:hAnsi="Calibri" w:cs="Calibri"/>
                                <w:color w:val="000000"/>
                                <w:sz w:val="20"/>
                                <w:szCs w:val="20"/>
                              </w:rPr>
                              <w:t> </w:t>
                            </w:r>
                            <w:r>
                              <w:rPr>
                                <w:rFonts w:ascii="Marianne" w:hAnsi="Marianne"/>
                                <w:color w:val="000000"/>
                                <w:sz w:val="20"/>
                                <w:szCs w:val="20"/>
                              </w:rPr>
                              <w:t xml:space="preserve">: </w:t>
                            </w:r>
                            <w:r w:rsidRPr="002965D8">
                              <w:rPr>
                                <w:rFonts w:ascii="Marianne" w:hAnsi="Marianne"/>
                                <w:color w:val="000000"/>
                                <w:sz w:val="20"/>
                                <w:szCs w:val="20"/>
                              </w:rPr>
                              <w:t>Claire THIRRIOT-KWANT</w:t>
                            </w:r>
                          </w:p>
                          <w:p w14:paraId="6FF0AF7B" w14:textId="40F1B1AF" w:rsidR="006F7CB0" w:rsidRDefault="00FC2725" w:rsidP="00FC2725">
                            <w:pPr>
                              <w:pStyle w:val="BREVESECOPieddepage"/>
                              <w:ind w:left="709" w:right="866"/>
                              <w:rPr>
                                <w:rFonts w:ascii="Marianne" w:hAnsi="Marianne"/>
                                <w:color w:val="000000"/>
                                <w:sz w:val="20"/>
                                <w:szCs w:val="20"/>
                              </w:rPr>
                            </w:pPr>
                            <w:r w:rsidRPr="00EE5287">
                              <w:rPr>
                                <w:rFonts w:ascii="Marianne" w:hAnsi="Marianne"/>
                                <w:color w:val="000000"/>
                                <w:sz w:val="20"/>
                                <w:szCs w:val="20"/>
                              </w:rPr>
                              <w:t>Rédact</w:t>
                            </w:r>
                            <w:r>
                              <w:rPr>
                                <w:rFonts w:ascii="Marianne" w:hAnsi="Marianne"/>
                                <w:color w:val="000000"/>
                                <w:sz w:val="20"/>
                                <w:szCs w:val="20"/>
                              </w:rPr>
                              <w:t>eurs</w:t>
                            </w:r>
                            <w:r w:rsidRPr="00EE5287">
                              <w:rPr>
                                <w:rFonts w:ascii="Calibri" w:hAnsi="Calibri" w:cs="Calibri"/>
                                <w:color w:val="000000"/>
                                <w:sz w:val="20"/>
                                <w:szCs w:val="20"/>
                              </w:rPr>
                              <w:t> </w:t>
                            </w:r>
                            <w:r w:rsidRPr="00EE5287">
                              <w:rPr>
                                <w:rFonts w:ascii="Marianne" w:hAnsi="Marianne"/>
                                <w:color w:val="000000"/>
                                <w:sz w:val="20"/>
                                <w:szCs w:val="20"/>
                              </w:rPr>
                              <w:t>:</w:t>
                            </w:r>
                            <w:r w:rsidRPr="002965D8">
                              <w:rPr>
                                <w:rFonts w:ascii="Marianne" w:hAnsi="Marianne"/>
                                <w:color w:val="000000"/>
                                <w:sz w:val="20"/>
                                <w:szCs w:val="20"/>
                              </w:rPr>
                              <w:t xml:space="preserve"> </w:t>
                            </w:r>
                            <w:r w:rsidR="00306A3C" w:rsidRPr="002965D8">
                              <w:rPr>
                                <w:rFonts w:ascii="Marianne" w:hAnsi="Marianne"/>
                                <w:color w:val="000000"/>
                                <w:sz w:val="20"/>
                                <w:szCs w:val="20"/>
                              </w:rPr>
                              <w:t>Adèle BESSOULE</w:t>
                            </w:r>
                            <w:r w:rsidR="00306A3C">
                              <w:rPr>
                                <w:rFonts w:ascii="Marianne" w:hAnsi="Marianne"/>
                                <w:color w:val="000000"/>
                                <w:sz w:val="20"/>
                                <w:szCs w:val="20"/>
                              </w:rPr>
                              <w:t xml:space="preserve">, </w:t>
                            </w:r>
                            <w:r w:rsidR="00DE0B71">
                              <w:rPr>
                                <w:rFonts w:ascii="Marianne" w:hAnsi="Marianne"/>
                                <w:color w:val="000000"/>
                                <w:sz w:val="20"/>
                                <w:szCs w:val="20"/>
                              </w:rPr>
                              <w:t>Mayte CONDE HOLTZMANN</w:t>
                            </w:r>
                            <w:r w:rsidR="00306A3C">
                              <w:rPr>
                                <w:rFonts w:ascii="Calibri" w:hAnsi="Calibri" w:cs="Calibri"/>
                                <w:color w:val="000000"/>
                                <w:sz w:val="20"/>
                                <w:szCs w:val="20"/>
                              </w:rPr>
                              <w:t xml:space="preserve">, </w:t>
                            </w:r>
                            <w:r w:rsidR="00306A3C" w:rsidRPr="002965D8">
                              <w:rPr>
                                <w:rFonts w:ascii="Marianne" w:hAnsi="Marianne"/>
                                <w:color w:val="000000"/>
                                <w:sz w:val="20"/>
                                <w:szCs w:val="20"/>
                              </w:rPr>
                              <w:t>Louca DERVILLE</w:t>
                            </w:r>
                            <w:r w:rsidR="00306A3C">
                              <w:rPr>
                                <w:rFonts w:ascii="Marianne" w:hAnsi="Marianne"/>
                                <w:color w:val="000000"/>
                                <w:sz w:val="20"/>
                                <w:szCs w:val="20"/>
                              </w:rPr>
                              <w:t xml:space="preserve">, </w:t>
                            </w:r>
                            <w:r w:rsidR="00306A3C" w:rsidRPr="002965D8">
                              <w:rPr>
                                <w:rFonts w:ascii="Marianne" w:hAnsi="Marianne"/>
                                <w:color w:val="000000"/>
                                <w:sz w:val="20"/>
                                <w:szCs w:val="20"/>
                              </w:rPr>
                              <w:t>Ahlam EL AHMAR</w:t>
                            </w:r>
                            <w:r w:rsidR="00306A3C">
                              <w:rPr>
                                <w:rFonts w:ascii="Marianne" w:hAnsi="Marianne"/>
                                <w:color w:val="000000"/>
                                <w:sz w:val="20"/>
                                <w:szCs w:val="20"/>
                              </w:rPr>
                              <w:t xml:space="preserve">, </w:t>
                            </w:r>
                            <w:r w:rsidR="00306A3C" w:rsidRPr="002965D8">
                              <w:rPr>
                                <w:rFonts w:ascii="Marianne" w:hAnsi="Marianne"/>
                                <w:color w:val="000000"/>
                                <w:sz w:val="20"/>
                                <w:szCs w:val="20"/>
                              </w:rPr>
                              <w:t>Esther GOREICHY</w:t>
                            </w:r>
                            <w:r w:rsidR="00306A3C">
                              <w:rPr>
                                <w:rFonts w:ascii="Marianne" w:hAnsi="Marianne"/>
                                <w:color w:val="000000"/>
                                <w:sz w:val="20"/>
                                <w:szCs w:val="20"/>
                              </w:rPr>
                              <w:t xml:space="preserve">, </w:t>
                            </w:r>
                            <w:r w:rsidRPr="002965D8">
                              <w:rPr>
                                <w:rFonts w:ascii="Marianne" w:hAnsi="Marianne"/>
                                <w:color w:val="000000"/>
                                <w:sz w:val="20"/>
                                <w:szCs w:val="20"/>
                              </w:rPr>
                              <w:t xml:space="preserve">Stéphanie JALLET, Antoine LECLERCQ, </w:t>
                            </w:r>
                            <w:r w:rsidR="00306A3C">
                              <w:rPr>
                                <w:rFonts w:ascii="Marianne" w:hAnsi="Marianne"/>
                                <w:color w:val="000000"/>
                                <w:sz w:val="20"/>
                                <w:szCs w:val="20"/>
                              </w:rPr>
                              <w:t>Manuela SACCOMANO</w:t>
                            </w:r>
                          </w:p>
                          <w:p w14:paraId="25F0020B" w14:textId="2B452BC9" w:rsidR="00FC2725" w:rsidRDefault="006F7CB0" w:rsidP="00FC2725">
                            <w:pPr>
                              <w:pStyle w:val="BREVESECOPieddepage"/>
                              <w:ind w:left="709" w:right="866"/>
                              <w:rPr>
                                <w:rFonts w:ascii="Marianne" w:hAnsi="Marianne"/>
                                <w:color w:val="000000"/>
                                <w:sz w:val="20"/>
                                <w:szCs w:val="20"/>
                              </w:rPr>
                            </w:pPr>
                            <w:r>
                              <w:rPr>
                                <w:rFonts w:ascii="Marianne" w:hAnsi="Marianne"/>
                                <w:color w:val="000000"/>
                                <w:sz w:val="20"/>
                                <w:szCs w:val="20"/>
                              </w:rPr>
                              <w:t>Relecteurs</w:t>
                            </w:r>
                            <w:r>
                              <w:rPr>
                                <w:rFonts w:ascii="Calibri" w:hAnsi="Calibri" w:cs="Calibri"/>
                                <w:color w:val="000000"/>
                                <w:sz w:val="20"/>
                                <w:szCs w:val="20"/>
                              </w:rPr>
                              <w:t> </w:t>
                            </w:r>
                            <w:r>
                              <w:rPr>
                                <w:rFonts w:ascii="Marianne" w:hAnsi="Marianne"/>
                                <w:color w:val="000000"/>
                                <w:sz w:val="20"/>
                                <w:szCs w:val="20"/>
                              </w:rPr>
                              <w:t xml:space="preserve">: </w:t>
                            </w:r>
                            <w:r w:rsidRPr="002965D8">
                              <w:rPr>
                                <w:rFonts w:ascii="Marianne" w:hAnsi="Marianne"/>
                                <w:color w:val="000000"/>
                                <w:sz w:val="20"/>
                                <w:szCs w:val="20"/>
                              </w:rPr>
                              <w:t>Willy BREDA, Bertrand LE TALLEC</w:t>
                            </w:r>
                          </w:p>
                          <w:p w14:paraId="038B2156" w14:textId="77777777" w:rsidR="00FC2725" w:rsidRPr="00EE5287" w:rsidRDefault="00FC2725" w:rsidP="00FC2725">
                            <w:pPr>
                              <w:pStyle w:val="BREVESECOPieddepage"/>
                              <w:ind w:left="709" w:right="866"/>
                              <w:rPr>
                                <w:rFonts w:ascii="Marianne" w:hAnsi="Marianne"/>
                                <w:color w:val="000000"/>
                                <w:sz w:val="20"/>
                                <w:szCs w:val="20"/>
                              </w:rPr>
                            </w:pPr>
                            <w:r w:rsidRPr="00EE5287">
                              <w:rPr>
                                <w:rFonts w:ascii="Marianne" w:hAnsi="Marianne"/>
                                <w:color w:val="000000"/>
                                <w:sz w:val="20"/>
                                <w:szCs w:val="20"/>
                              </w:rP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berlin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C1A7A" id="Rectangle 3" o:spid="_x0000_s1027" style="position:absolute;margin-left:546.2pt;margin-top:0;width:597.4pt;height:159.05pt;z-index:-25165823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" fillcolor="#fbe769" stroked="f" strokeweight="1pt">
                <v:textbox>
                  <w:txbxContent>
                    <w:p w14:paraId="1D78F9E3" w14:textId="77777777" w:rsidR="00FC2725" w:rsidRPr="00EE5287" w:rsidRDefault="00FC2725" w:rsidP="00FC2725">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20" w:history="1">
                        <w:r w:rsidRPr="00EE5287">
                          <w:rPr>
                            <w:rStyle w:val="Lienhypertexte"/>
                            <w:rFonts w:ascii="Marianne" w:hAnsi="Marianne"/>
                            <w:sz w:val="20"/>
                            <w:szCs w:val="20"/>
                          </w:rPr>
                          <w:t>www.tresor.economie.gouv.fr/tresor-international</w:t>
                        </w:r>
                      </w:hyperlink>
                    </w:p>
                    <w:p w14:paraId="45173243" w14:textId="77777777" w:rsidR="00FC2725" w:rsidRPr="00EE5287" w:rsidRDefault="00FC2725" w:rsidP="00FC2725">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Pr>
                          <w:rFonts w:ascii="Calibri" w:hAnsi="Calibri" w:cs="Calibri"/>
                          <w:color w:val="000000"/>
                          <w:sz w:val="20"/>
                          <w:szCs w:val="20"/>
                        </w:rPr>
                        <w:t> </w:t>
                      </w:r>
                      <w:r>
                        <w:rPr>
                          <w:rFonts w:ascii="Marianne" w:hAnsi="Marianne"/>
                          <w:color w:val="000000"/>
                          <w:sz w:val="20"/>
                          <w:szCs w:val="20"/>
                        </w:rPr>
                        <w:t xml:space="preserve">: </w:t>
                      </w:r>
                      <w:r w:rsidRPr="002965D8">
                        <w:rPr>
                          <w:rFonts w:ascii="Marianne" w:hAnsi="Marianne"/>
                          <w:color w:val="000000"/>
                          <w:sz w:val="20"/>
                          <w:szCs w:val="20"/>
                        </w:rPr>
                        <w:t>Claire THIRRIOT-KWANT</w:t>
                      </w:r>
                    </w:p>
                    <w:p w14:paraId="6FF0AF7B" w14:textId="40F1B1AF" w:rsidR="006F7CB0" w:rsidRDefault="00FC2725" w:rsidP="00FC2725">
                      <w:pPr>
                        <w:pStyle w:val="BREVESECOPieddepage"/>
                        <w:ind w:left="709" w:right="866"/>
                        <w:rPr>
                          <w:rFonts w:ascii="Marianne" w:hAnsi="Marianne"/>
                          <w:color w:val="000000"/>
                          <w:sz w:val="20"/>
                          <w:szCs w:val="20"/>
                        </w:rPr>
                      </w:pPr>
                      <w:r w:rsidRPr="00EE5287">
                        <w:rPr>
                          <w:rFonts w:ascii="Marianne" w:hAnsi="Marianne"/>
                          <w:color w:val="000000"/>
                          <w:sz w:val="20"/>
                          <w:szCs w:val="20"/>
                        </w:rPr>
                        <w:t>Rédact</w:t>
                      </w:r>
                      <w:r>
                        <w:rPr>
                          <w:rFonts w:ascii="Marianne" w:hAnsi="Marianne"/>
                          <w:color w:val="000000"/>
                          <w:sz w:val="20"/>
                          <w:szCs w:val="20"/>
                        </w:rPr>
                        <w:t>eurs</w:t>
                      </w:r>
                      <w:r w:rsidRPr="00EE5287">
                        <w:rPr>
                          <w:rFonts w:ascii="Calibri" w:hAnsi="Calibri" w:cs="Calibri"/>
                          <w:color w:val="000000"/>
                          <w:sz w:val="20"/>
                          <w:szCs w:val="20"/>
                        </w:rPr>
                        <w:t> </w:t>
                      </w:r>
                      <w:r w:rsidRPr="00EE5287">
                        <w:rPr>
                          <w:rFonts w:ascii="Marianne" w:hAnsi="Marianne"/>
                          <w:color w:val="000000"/>
                          <w:sz w:val="20"/>
                          <w:szCs w:val="20"/>
                        </w:rPr>
                        <w:t>:</w:t>
                      </w:r>
                      <w:r w:rsidRPr="002965D8">
                        <w:rPr>
                          <w:rFonts w:ascii="Marianne" w:hAnsi="Marianne"/>
                          <w:color w:val="000000"/>
                          <w:sz w:val="20"/>
                          <w:szCs w:val="20"/>
                        </w:rPr>
                        <w:t xml:space="preserve"> </w:t>
                      </w:r>
                      <w:r w:rsidR="00306A3C" w:rsidRPr="002965D8">
                        <w:rPr>
                          <w:rFonts w:ascii="Marianne" w:hAnsi="Marianne"/>
                          <w:color w:val="000000"/>
                          <w:sz w:val="20"/>
                          <w:szCs w:val="20"/>
                        </w:rPr>
                        <w:t>Adèle BESSOULE</w:t>
                      </w:r>
                      <w:r w:rsidR="00306A3C">
                        <w:rPr>
                          <w:rFonts w:ascii="Marianne" w:hAnsi="Marianne"/>
                          <w:color w:val="000000"/>
                          <w:sz w:val="20"/>
                          <w:szCs w:val="20"/>
                        </w:rPr>
                        <w:t xml:space="preserve">, </w:t>
                      </w:r>
                      <w:r w:rsidR="00DE0B71">
                        <w:rPr>
                          <w:rFonts w:ascii="Marianne" w:hAnsi="Marianne"/>
                          <w:color w:val="000000"/>
                          <w:sz w:val="20"/>
                          <w:szCs w:val="20"/>
                        </w:rPr>
                        <w:t>Mayte CONDE HOLTZMANN</w:t>
                      </w:r>
                      <w:r w:rsidR="00306A3C">
                        <w:rPr>
                          <w:rFonts w:ascii="Calibri" w:hAnsi="Calibri" w:cs="Calibri"/>
                          <w:color w:val="000000"/>
                          <w:sz w:val="20"/>
                          <w:szCs w:val="20"/>
                        </w:rPr>
                        <w:t xml:space="preserve">, </w:t>
                      </w:r>
                      <w:r w:rsidR="00306A3C" w:rsidRPr="002965D8">
                        <w:rPr>
                          <w:rFonts w:ascii="Marianne" w:hAnsi="Marianne"/>
                          <w:color w:val="000000"/>
                          <w:sz w:val="20"/>
                          <w:szCs w:val="20"/>
                        </w:rPr>
                        <w:t>Louca DERVILLE</w:t>
                      </w:r>
                      <w:r w:rsidR="00306A3C">
                        <w:rPr>
                          <w:rFonts w:ascii="Marianne" w:hAnsi="Marianne"/>
                          <w:color w:val="000000"/>
                          <w:sz w:val="20"/>
                          <w:szCs w:val="20"/>
                        </w:rPr>
                        <w:t xml:space="preserve">, </w:t>
                      </w:r>
                      <w:r w:rsidR="00306A3C" w:rsidRPr="002965D8">
                        <w:rPr>
                          <w:rFonts w:ascii="Marianne" w:hAnsi="Marianne"/>
                          <w:color w:val="000000"/>
                          <w:sz w:val="20"/>
                          <w:szCs w:val="20"/>
                        </w:rPr>
                        <w:t>Ahlam EL AHMAR</w:t>
                      </w:r>
                      <w:r w:rsidR="00306A3C">
                        <w:rPr>
                          <w:rFonts w:ascii="Marianne" w:hAnsi="Marianne"/>
                          <w:color w:val="000000"/>
                          <w:sz w:val="20"/>
                          <w:szCs w:val="20"/>
                        </w:rPr>
                        <w:t xml:space="preserve">, </w:t>
                      </w:r>
                      <w:r w:rsidR="00306A3C" w:rsidRPr="002965D8">
                        <w:rPr>
                          <w:rFonts w:ascii="Marianne" w:hAnsi="Marianne"/>
                          <w:color w:val="000000"/>
                          <w:sz w:val="20"/>
                          <w:szCs w:val="20"/>
                        </w:rPr>
                        <w:t>Esther GOREICHY</w:t>
                      </w:r>
                      <w:r w:rsidR="00306A3C">
                        <w:rPr>
                          <w:rFonts w:ascii="Marianne" w:hAnsi="Marianne"/>
                          <w:color w:val="000000"/>
                          <w:sz w:val="20"/>
                          <w:szCs w:val="20"/>
                        </w:rPr>
                        <w:t xml:space="preserve">, </w:t>
                      </w:r>
                      <w:r w:rsidRPr="002965D8">
                        <w:rPr>
                          <w:rFonts w:ascii="Marianne" w:hAnsi="Marianne"/>
                          <w:color w:val="000000"/>
                          <w:sz w:val="20"/>
                          <w:szCs w:val="20"/>
                        </w:rPr>
                        <w:t xml:space="preserve">Stéphanie JALLET, Antoine LECLERCQ, </w:t>
                      </w:r>
                      <w:r w:rsidR="00306A3C">
                        <w:rPr>
                          <w:rFonts w:ascii="Marianne" w:hAnsi="Marianne"/>
                          <w:color w:val="000000"/>
                          <w:sz w:val="20"/>
                          <w:szCs w:val="20"/>
                        </w:rPr>
                        <w:t>Manuela SACCOMANO</w:t>
                      </w:r>
                    </w:p>
                    <w:p w14:paraId="25F0020B" w14:textId="2B452BC9" w:rsidR="00FC2725" w:rsidRDefault="006F7CB0" w:rsidP="00FC2725">
                      <w:pPr>
                        <w:pStyle w:val="BREVESECOPieddepage"/>
                        <w:ind w:left="709" w:right="866"/>
                        <w:rPr>
                          <w:rFonts w:ascii="Marianne" w:hAnsi="Marianne"/>
                          <w:color w:val="000000"/>
                          <w:sz w:val="20"/>
                          <w:szCs w:val="20"/>
                        </w:rPr>
                      </w:pPr>
                      <w:r>
                        <w:rPr>
                          <w:rFonts w:ascii="Marianne" w:hAnsi="Marianne"/>
                          <w:color w:val="000000"/>
                          <w:sz w:val="20"/>
                          <w:szCs w:val="20"/>
                        </w:rPr>
                        <w:t>Relecteurs</w:t>
                      </w:r>
                      <w:r>
                        <w:rPr>
                          <w:rFonts w:ascii="Calibri" w:hAnsi="Calibri" w:cs="Calibri"/>
                          <w:color w:val="000000"/>
                          <w:sz w:val="20"/>
                          <w:szCs w:val="20"/>
                        </w:rPr>
                        <w:t> </w:t>
                      </w:r>
                      <w:r>
                        <w:rPr>
                          <w:rFonts w:ascii="Marianne" w:hAnsi="Marianne"/>
                          <w:color w:val="000000"/>
                          <w:sz w:val="20"/>
                          <w:szCs w:val="20"/>
                        </w:rPr>
                        <w:t xml:space="preserve">: </w:t>
                      </w:r>
                      <w:r w:rsidRPr="002965D8">
                        <w:rPr>
                          <w:rFonts w:ascii="Marianne" w:hAnsi="Marianne"/>
                          <w:color w:val="000000"/>
                          <w:sz w:val="20"/>
                          <w:szCs w:val="20"/>
                        </w:rPr>
                        <w:t>Willy BREDA, Bertrand LE TALLEC</w:t>
                      </w:r>
                    </w:p>
                    <w:p w14:paraId="038B2156" w14:textId="77777777" w:rsidR="00FC2725" w:rsidRPr="00EE5287" w:rsidRDefault="00FC2725" w:rsidP="00FC2725">
                      <w:pPr>
                        <w:pStyle w:val="BREVESECOPieddepage"/>
                        <w:ind w:left="709" w:right="866"/>
                        <w:rPr>
                          <w:rFonts w:ascii="Marianne" w:hAnsi="Marianne"/>
                          <w:color w:val="000000"/>
                          <w:sz w:val="20"/>
                          <w:szCs w:val="20"/>
                        </w:rPr>
                      </w:pPr>
                      <w:r w:rsidRPr="00EE5287">
                        <w:rPr>
                          <w:rFonts w:ascii="Marianne" w:hAnsi="Marianne"/>
                          <w:color w:val="000000"/>
                          <w:sz w:val="20"/>
                          <w:szCs w:val="20"/>
                        </w:rP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2424FF" w:themeColor="text1" w:themeTint="99"/>
                          <w:sz w:val="20"/>
                          <w:szCs w:val="20"/>
                          <w:u w:val="single"/>
                        </w:rPr>
                        <w:t>berlin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bookmarkEnd w:id="92"/>
      <w:bookmarkEnd w:id="93"/>
      <w:bookmarkEnd w:id="94"/>
      <w:bookmarkEnd w:id="95"/>
      <w:bookmarkEnd w:id="96"/>
      <w:bookmarkEnd w:id="97"/>
    </w:p>
    <w:sectPr w:rsidR="00EF7520" w:rsidRPr="00EF7520" w:rsidSect="00F76BAA">
      <w:type w:val="continuous"/>
      <w:pgSz w:w="11906" w:h="16838"/>
      <w:pgMar w:top="0" w:right="1417" w:bottom="0"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93268" w14:textId="77777777" w:rsidR="00D7065D" w:rsidRDefault="00D7065D" w:rsidP="001C2361">
      <w:pPr>
        <w:spacing w:after="0" w:line="240" w:lineRule="auto"/>
      </w:pPr>
      <w:r>
        <w:separator/>
      </w:r>
    </w:p>
  </w:endnote>
  <w:endnote w:type="continuationSeparator" w:id="0">
    <w:p w14:paraId="11F15141" w14:textId="77777777" w:rsidR="00D7065D" w:rsidRDefault="00D7065D" w:rsidP="001C2361">
      <w:pPr>
        <w:spacing w:after="0" w:line="240" w:lineRule="auto"/>
      </w:pPr>
      <w:r>
        <w:continuationSeparator/>
      </w:r>
    </w:p>
  </w:endnote>
  <w:endnote w:type="continuationNotice" w:id="1">
    <w:p w14:paraId="7756B219" w14:textId="77777777" w:rsidR="00D7065D" w:rsidRDefault="00D70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ianne Light">
    <w:panose1 w:val="02000000000000000000"/>
    <w:charset w:val="00"/>
    <w:family w:val="modern"/>
    <w:notTrueType/>
    <w:pitch w:val="variable"/>
    <w:sig w:usb0="0000000F" w:usb1="00000000" w:usb2="00000000" w:usb3="00000000" w:csb0="00000003"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Thin">
    <w:panose1 w:val="02000000000000000000"/>
    <w:charset w:val="00"/>
    <w:family w:val="modern"/>
    <w:notTrueType/>
    <w:pitch w:val="variable"/>
    <w:sig w:usb0="0000000F"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1E80" w14:textId="77777777" w:rsidR="00D7065D" w:rsidRDefault="00D7065D" w:rsidP="001C2361">
      <w:pPr>
        <w:spacing w:after="0" w:line="240" w:lineRule="auto"/>
      </w:pPr>
      <w:r>
        <w:separator/>
      </w:r>
    </w:p>
  </w:footnote>
  <w:footnote w:type="continuationSeparator" w:id="0">
    <w:p w14:paraId="3DDC833D" w14:textId="77777777" w:rsidR="00D7065D" w:rsidRDefault="00D7065D" w:rsidP="001C2361">
      <w:pPr>
        <w:spacing w:after="0" w:line="240" w:lineRule="auto"/>
      </w:pPr>
      <w:r>
        <w:continuationSeparator/>
      </w:r>
    </w:p>
  </w:footnote>
  <w:footnote w:type="continuationNotice" w:id="1">
    <w:p w14:paraId="533E7FA9" w14:textId="77777777" w:rsidR="00D7065D" w:rsidRDefault="00D706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80A7B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83.25pt" o:bullet="t">
        <v:imagedata r:id="rId1" o:title="arrows-H1"/>
      </v:shape>
    </w:pict>
  </w:numPicBullet>
  <w:abstractNum w:abstractNumId="0" w15:restartNumberingAfterBreak="0">
    <w:nsid w:val="004D3A38"/>
    <w:multiLevelType w:val="hybridMultilevel"/>
    <w:tmpl w:val="4EBAB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6B5C0A"/>
    <w:multiLevelType w:val="hybridMultilevel"/>
    <w:tmpl w:val="1BAE36A0"/>
    <w:lvl w:ilvl="0" w:tplc="CD445890">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AD12478"/>
    <w:multiLevelType w:val="hybridMultilevel"/>
    <w:tmpl w:val="429A82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D62E76"/>
    <w:multiLevelType w:val="hybridMultilevel"/>
    <w:tmpl w:val="60CE2E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E980CD3"/>
    <w:multiLevelType w:val="hybridMultilevel"/>
    <w:tmpl w:val="0114A22E"/>
    <w:lvl w:ilvl="0" w:tplc="879E4448">
      <w:start w:val="1"/>
      <w:numFmt w:val="decimal"/>
      <w:lvlText w:val="%1."/>
      <w:lvlJc w:val="left"/>
      <w:pPr>
        <w:ind w:left="720" w:hanging="360"/>
      </w:pPr>
      <w:rPr>
        <w:rFonts w:ascii="Marianne Light" w:hAnsi="Marianne Light"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EA5F9F"/>
    <w:multiLevelType w:val="hybridMultilevel"/>
    <w:tmpl w:val="2FD8B8E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9127861"/>
    <w:multiLevelType w:val="hybridMultilevel"/>
    <w:tmpl w:val="E856E1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2A4A1C26"/>
    <w:multiLevelType w:val="hybridMultilevel"/>
    <w:tmpl w:val="B5D08102"/>
    <w:lvl w:ilvl="0" w:tplc="60BC8548">
      <w:numFmt w:val="bullet"/>
      <w:lvlText w:val="-"/>
      <w:lvlJc w:val="left"/>
      <w:pPr>
        <w:ind w:left="720" w:hanging="360"/>
      </w:pPr>
      <w:rPr>
        <w:rFonts w:ascii="Marianne ExtraBold" w:eastAsiaTheme="minorHAnsi" w:hAnsi="Marianne ExtraBold" w:cs="Times New Roman (Corps CS)" w:hint="default"/>
        <w:sz w:val="9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D745366"/>
    <w:multiLevelType w:val="hybridMultilevel"/>
    <w:tmpl w:val="029ECE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EC9565F"/>
    <w:multiLevelType w:val="hybridMultilevel"/>
    <w:tmpl w:val="C5F268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9" w15:restartNumberingAfterBreak="0">
    <w:nsid w:val="4B2F2008"/>
    <w:multiLevelType w:val="hybridMultilevel"/>
    <w:tmpl w:val="D77063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BB06E25"/>
    <w:multiLevelType w:val="hybridMultilevel"/>
    <w:tmpl w:val="88384D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62F0647"/>
    <w:multiLevelType w:val="hybridMultilevel"/>
    <w:tmpl w:val="00923F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E10470D"/>
    <w:multiLevelType w:val="hybridMultilevel"/>
    <w:tmpl w:val="0FAC82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4213D7"/>
    <w:multiLevelType w:val="hybridMultilevel"/>
    <w:tmpl w:val="80B2BB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3E22310"/>
    <w:multiLevelType w:val="hybridMultilevel"/>
    <w:tmpl w:val="493C0B14"/>
    <w:lvl w:ilvl="0" w:tplc="ECA2A506">
      <w:start w:val="1"/>
      <w:numFmt w:val="decimal"/>
      <w:lvlText w:val="%1."/>
      <w:lvlJc w:val="left"/>
      <w:pPr>
        <w:ind w:left="720" w:hanging="360"/>
      </w:pPr>
      <w:rPr>
        <w:rFonts w:ascii="Marianne Light" w:hAnsi="Marianne Light"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8F250AF"/>
    <w:multiLevelType w:val="hybridMultilevel"/>
    <w:tmpl w:val="65E0C288"/>
    <w:lvl w:ilvl="0" w:tplc="92926EC2">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8"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6BC07C1E"/>
    <w:multiLevelType w:val="hybridMultilevel"/>
    <w:tmpl w:val="60040FAA"/>
    <w:lvl w:ilvl="0" w:tplc="040C000F">
      <w:start w:val="2"/>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8C422E"/>
    <w:multiLevelType w:val="hybridMultilevel"/>
    <w:tmpl w:val="753614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33" w15:restartNumberingAfterBreak="0">
    <w:nsid w:val="72270C47"/>
    <w:multiLevelType w:val="hybridMultilevel"/>
    <w:tmpl w:val="6D4A3648"/>
    <w:lvl w:ilvl="0" w:tplc="CD445890">
      <w:numFmt w:val="bullet"/>
      <w:lvlText w:val="-"/>
      <w:lvlJc w:val="left"/>
      <w:pPr>
        <w:ind w:left="720" w:hanging="360"/>
      </w:pPr>
      <w:rPr>
        <w:rFonts w:ascii="Marianne Light" w:eastAsiaTheme="minorHAnsi" w:hAnsi="Marianne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6C0787B"/>
    <w:multiLevelType w:val="hybridMultilevel"/>
    <w:tmpl w:val="3FA28FE4"/>
    <w:lvl w:ilvl="0" w:tplc="040C000F">
      <w:start w:val="2"/>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F314AF6"/>
    <w:multiLevelType w:val="hybridMultilevel"/>
    <w:tmpl w:val="90DA81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5"/>
  </w:num>
  <w:num w:numId="2">
    <w:abstractNumId w:val="32"/>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35"/>
  </w:num>
  <w:num w:numId="6">
    <w:abstractNumId w:val="30"/>
  </w:num>
  <w:num w:numId="7">
    <w:abstractNumId w:val="12"/>
  </w:num>
  <w:num w:numId="8">
    <w:abstractNumId w:val="11"/>
  </w:num>
  <w:num w:numId="9">
    <w:abstractNumId w:val="3"/>
  </w:num>
  <w:num w:numId="10">
    <w:abstractNumId w:val="8"/>
  </w:num>
  <w:num w:numId="11">
    <w:abstractNumId w:val="1"/>
  </w:num>
  <w:num w:numId="12">
    <w:abstractNumId w:val="28"/>
  </w:num>
  <w:num w:numId="13">
    <w:abstractNumId w:val="4"/>
  </w:num>
  <w:num w:numId="14">
    <w:abstractNumId w:val="17"/>
  </w:num>
  <w:num w:numId="15">
    <w:abstractNumId w:val="18"/>
  </w:num>
  <w:num w:numId="16">
    <w:abstractNumId w:val="36"/>
  </w:num>
  <w:num w:numId="17">
    <w:abstractNumId w:val="23"/>
  </w:num>
  <w:num w:numId="18">
    <w:abstractNumId w:val="6"/>
  </w:num>
  <w:num w:numId="19">
    <w:abstractNumId w:val="7"/>
  </w:num>
  <w:num w:numId="20">
    <w:abstractNumId w:val="26"/>
  </w:num>
  <w:num w:numId="21">
    <w:abstractNumId w:val="22"/>
  </w:num>
  <w:num w:numId="22">
    <w:abstractNumId w:val="14"/>
  </w:num>
  <w:num w:numId="23">
    <w:abstractNumId w:val="20"/>
  </w:num>
  <w:num w:numId="24">
    <w:abstractNumId w:val="19"/>
  </w:num>
  <w:num w:numId="25">
    <w:abstractNumId w:val="0"/>
  </w:num>
  <w:num w:numId="26">
    <w:abstractNumId w:val="27"/>
  </w:num>
  <w:num w:numId="27">
    <w:abstractNumId w:val="5"/>
  </w:num>
  <w:num w:numId="28">
    <w:abstractNumId w:val="24"/>
  </w:num>
  <w:num w:numId="29">
    <w:abstractNumId w:val="2"/>
  </w:num>
  <w:num w:numId="30">
    <w:abstractNumId w:val="33"/>
  </w:num>
  <w:num w:numId="31">
    <w:abstractNumId w:val="10"/>
  </w:num>
  <w:num w:numId="32">
    <w:abstractNumId w:val="16"/>
  </w:num>
  <w:num w:numId="33">
    <w:abstractNumId w:val="34"/>
  </w:num>
  <w:num w:numId="34">
    <w:abstractNumId w:val="29"/>
  </w:num>
  <w:num w:numId="35">
    <w:abstractNumId w:val="9"/>
  </w:num>
  <w:num w:numId="36">
    <w:abstractNumId w:val="1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defaultTabStop w:val="708"/>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F73"/>
    <w:rsid w:val="000059C2"/>
    <w:rsid w:val="000064C1"/>
    <w:rsid w:val="00006D9E"/>
    <w:rsid w:val="000117F1"/>
    <w:rsid w:val="00020965"/>
    <w:rsid w:val="00020EE2"/>
    <w:rsid w:val="00021EDA"/>
    <w:rsid w:val="00022880"/>
    <w:rsid w:val="00022F44"/>
    <w:rsid w:val="000246ED"/>
    <w:rsid w:val="00027D8D"/>
    <w:rsid w:val="00032476"/>
    <w:rsid w:val="00036751"/>
    <w:rsid w:val="0003711B"/>
    <w:rsid w:val="00045CF8"/>
    <w:rsid w:val="00050225"/>
    <w:rsid w:val="000534EC"/>
    <w:rsid w:val="00057B6D"/>
    <w:rsid w:val="00060332"/>
    <w:rsid w:val="00064115"/>
    <w:rsid w:val="000676F2"/>
    <w:rsid w:val="00071713"/>
    <w:rsid w:val="00071F97"/>
    <w:rsid w:val="000743ED"/>
    <w:rsid w:val="000763B3"/>
    <w:rsid w:val="00080037"/>
    <w:rsid w:val="00080602"/>
    <w:rsid w:val="00091AFA"/>
    <w:rsid w:val="000930D1"/>
    <w:rsid w:val="00094D44"/>
    <w:rsid w:val="00095494"/>
    <w:rsid w:val="0009569D"/>
    <w:rsid w:val="00095EE0"/>
    <w:rsid w:val="00097777"/>
    <w:rsid w:val="000A1918"/>
    <w:rsid w:val="000A2C53"/>
    <w:rsid w:val="000A4B24"/>
    <w:rsid w:val="000A6EBF"/>
    <w:rsid w:val="000A70FC"/>
    <w:rsid w:val="000B3A7B"/>
    <w:rsid w:val="000C13D7"/>
    <w:rsid w:val="000C3304"/>
    <w:rsid w:val="000C50E6"/>
    <w:rsid w:val="000C5EEA"/>
    <w:rsid w:val="000D00C8"/>
    <w:rsid w:val="000D37DF"/>
    <w:rsid w:val="000D51DF"/>
    <w:rsid w:val="000E0FA0"/>
    <w:rsid w:val="000E1E2F"/>
    <w:rsid w:val="000E3281"/>
    <w:rsid w:val="000E5450"/>
    <w:rsid w:val="000E7793"/>
    <w:rsid w:val="000E790A"/>
    <w:rsid w:val="000F2C4E"/>
    <w:rsid w:val="000F6685"/>
    <w:rsid w:val="000F7A3D"/>
    <w:rsid w:val="00100569"/>
    <w:rsid w:val="00100C95"/>
    <w:rsid w:val="001053ED"/>
    <w:rsid w:val="001105E1"/>
    <w:rsid w:val="001109EF"/>
    <w:rsid w:val="00111BFD"/>
    <w:rsid w:val="00111C32"/>
    <w:rsid w:val="00115F13"/>
    <w:rsid w:val="00116803"/>
    <w:rsid w:val="00122758"/>
    <w:rsid w:val="00123350"/>
    <w:rsid w:val="0012430D"/>
    <w:rsid w:val="00133ABA"/>
    <w:rsid w:val="00134DE8"/>
    <w:rsid w:val="00135E2C"/>
    <w:rsid w:val="001360A8"/>
    <w:rsid w:val="001372E8"/>
    <w:rsid w:val="0014638D"/>
    <w:rsid w:val="00147754"/>
    <w:rsid w:val="001502D0"/>
    <w:rsid w:val="001505C0"/>
    <w:rsid w:val="00152C27"/>
    <w:rsid w:val="001549F3"/>
    <w:rsid w:val="00156975"/>
    <w:rsid w:val="001715C4"/>
    <w:rsid w:val="00172E87"/>
    <w:rsid w:val="00175E92"/>
    <w:rsid w:val="001825FB"/>
    <w:rsid w:val="00184135"/>
    <w:rsid w:val="00184641"/>
    <w:rsid w:val="00185A5E"/>
    <w:rsid w:val="00190FFF"/>
    <w:rsid w:val="0019173B"/>
    <w:rsid w:val="0019280B"/>
    <w:rsid w:val="00193D19"/>
    <w:rsid w:val="001A0A3C"/>
    <w:rsid w:val="001A1A43"/>
    <w:rsid w:val="001A1CBD"/>
    <w:rsid w:val="001A1CD5"/>
    <w:rsid w:val="001A1CF0"/>
    <w:rsid w:val="001A5A37"/>
    <w:rsid w:val="001A678C"/>
    <w:rsid w:val="001B1CF0"/>
    <w:rsid w:val="001B3811"/>
    <w:rsid w:val="001C100F"/>
    <w:rsid w:val="001C2361"/>
    <w:rsid w:val="001C2E06"/>
    <w:rsid w:val="001C4351"/>
    <w:rsid w:val="001D6361"/>
    <w:rsid w:val="001D6F63"/>
    <w:rsid w:val="001D76ED"/>
    <w:rsid w:val="001E4D67"/>
    <w:rsid w:val="001F0CA5"/>
    <w:rsid w:val="001F135C"/>
    <w:rsid w:val="001F235A"/>
    <w:rsid w:val="001F2D7C"/>
    <w:rsid w:val="001F3282"/>
    <w:rsid w:val="002123BD"/>
    <w:rsid w:val="00222C29"/>
    <w:rsid w:val="00223554"/>
    <w:rsid w:val="00225798"/>
    <w:rsid w:val="00232F04"/>
    <w:rsid w:val="00235889"/>
    <w:rsid w:val="00237D24"/>
    <w:rsid w:val="002409C5"/>
    <w:rsid w:val="002426D5"/>
    <w:rsid w:val="00246C65"/>
    <w:rsid w:val="00250729"/>
    <w:rsid w:val="00250F27"/>
    <w:rsid w:val="002550BB"/>
    <w:rsid w:val="00255F30"/>
    <w:rsid w:val="00256D33"/>
    <w:rsid w:val="00257E48"/>
    <w:rsid w:val="00264F89"/>
    <w:rsid w:val="00270579"/>
    <w:rsid w:val="00271891"/>
    <w:rsid w:val="00272B93"/>
    <w:rsid w:val="002762C9"/>
    <w:rsid w:val="002845E3"/>
    <w:rsid w:val="00286824"/>
    <w:rsid w:val="00290584"/>
    <w:rsid w:val="002A1F6C"/>
    <w:rsid w:val="002A22A7"/>
    <w:rsid w:val="002A55C0"/>
    <w:rsid w:val="002D4BD7"/>
    <w:rsid w:val="002D4C04"/>
    <w:rsid w:val="002E6890"/>
    <w:rsid w:val="002E70CD"/>
    <w:rsid w:val="002E7383"/>
    <w:rsid w:val="002F0AC8"/>
    <w:rsid w:val="002F20E5"/>
    <w:rsid w:val="002F210F"/>
    <w:rsid w:val="002F49E1"/>
    <w:rsid w:val="002F6629"/>
    <w:rsid w:val="0030017B"/>
    <w:rsid w:val="0030148A"/>
    <w:rsid w:val="00306A3C"/>
    <w:rsid w:val="00310B7E"/>
    <w:rsid w:val="00313754"/>
    <w:rsid w:val="00317870"/>
    <w:rsid w:val="00322804"/>
    <w:rsid w:val="00323740"/>
    <w:rsid w:val="00323859"/>
    <w:rsid w:val="00323EBD"/>
    <w:rsid w:val="0032537C"/>
    <w:rsid w:val="003257BD"/>
    <w:rsid w:val="00325A81"/>
    <w:rsid w:val="00327937"/>
    <w:rsid w:val="0033036F"/>
    <w:rsid w:val="00330428"/>
    <w:rsid w:val="00332310"/>
    <w:rsid w:val="003339CE"/>
    <w:rsid w:val="003351F1"/>
    <w:rsid w:val="003407BF"/>
    <w:rsid w:val="00341877"/>
    <w:rsid w:val="00341E94"/>
    <w:rsid w:val="00347F9E"/>
    <w:rsid w:val="00351E1C"/>
    <w:rsid w:val="0035207D"/>
    <w:rsid w:val="00354A53"/>
    <w:rsid w:val="00354C9D"/>
    <w:rsid w:val="0035745A"/>
    <w:rsid w:val="00360F97"/>
    <w:rsid w:val="0036663B"/>
    <w:rsid w:val="00367DF6"/>
    <w:rsid w:val="00367E5A"/>
    <w:rsid w:val="00374D53"/>
    <w:rsid w:val="00376F87"/>
    <w:rsid w:val="00377431"/>
    <w:rsid w:val="00382F5F"/>
    <w:rsid w:val="003833C2"/>
    <w:rsid w:val="003847EC"/>
    <w:rsid w:val="003872CE"/>
    <w:rsid w:val="003873C0"/>
    <w:rsid w:val="00387EE9"/>
    <w:rsid w:val="00391225"/>
    <w:rsid w:val="00392169"/>
    <w:rsid w:val="0039379C"/>
    <w:rsid w:val="00393DEC"/>
    <w:rsid w:val="00393F57"/>
    <w:rsid w:val="00394132"/>
    <w:rsid w:val="003A4CB3"/>
    <w:rsid w:val="003A7EB8"/>
    <w:rsid w:val="003B1A22"/>
    <w:rsid w:val="003B26A1"/>
    <w:rsid w:val="003B33D3"/>
    <w:rsid w:val="003C271B"/>
    <w:rsid w:val="003C3AE7"/>
    <w:rsid w:val="003D2AD3"/>
    <w:rsid w:val="003D5550"/>
    <w:rsid w:val="003D6537"/>
    <w:rsid w:val="003E0803"/>
    <w:rsid w:val="003E0A4E"/>
    <w:rsid w:val="003E3CBB"/>
    <w:rsid w:val="003E7D2A"/>
    <w:rsid w:val="003F2C83"/>
    <w:rsid w:val="004004CC"/>
    <w:rsid w:val="004011CE"/>
    <w:rsid w:val="00401341"/>
    <w:rsid w:val="0040330E"/>
    <w:rsid w:val="00406E2E"/>
    <w:rsid w:val="004140EE"/>
    <w:rsid w:val="00420C8F"/>
    <w:rsid w:val="00422DDF"/>
    <w:rsid w:val="00431EEE"/>
    <w:rsid w:val="004339DA"/>
    <w:rsid w:val="00433E5E"/>
    <w:rsid w:val="004368D9"/>
    <w:rsid w:val="004372C1"/>
    <w:rsid w:val="00445120"/>
    <w:rsid w:val="00450D73"/>
    <w:rsid w:val="00452C51"/>
    <w:rsid w:val="00464E6B"/>
    <w:rsid w:val="004716CD"/>
    <w:rsid w:val="00471702"/>
    <w:rsid w:val="00472C6F"/>
    <w:rsid w:val="004750E8"/>
    <w:rsid w:val="00475FD6"/>
    <w:rsid w:val="004774CC"/>
    <w:rsid w:val="004841DC"/>
    <w:rsid w:val="004907D5"/>
    <w:rsid w:val="004908E5"/>
    <w:rsid w:val="00496D10"/>
    <w:rsid w:val="004A1589"/>
    <w:rsid w:val="004A2794"/>
    <w:rsid w:val="004A28DB"/>
    <w:rsid w:val="004A614E"/>
    <w:rsid w:val="004B1C55"/>
    <w:rsid w:val="004B2484"/>
    <w:rsid w:val="004B2ADB"/>
    <w:rsid w:val="004B59AD"/>
    <w:rsid w:val="004B66C3"/>
    <w:rsid w:val="004B72E0"/>
    <w:rsid w:val="004C131A"/>
    <w:rsid w:val="004C3273"/>
    <w:rsid w:val="004C488D"/>
    <w:rsid w:val="004C56E1"/>
    <w:rsid w:val="004C6F37"/>
    <w:rsid w:val="004D19C5"/>
    <w:rsid w:val="004D4AED"/>
    <w:rsid w:val="004D5055"/>
    <w:rsid w:val="004D7C76"/>
    <w:rsid w:val="004E6C1A"/>
    <w:rsid w:val="004E6DB3"/>
    <w:rsid w:val="004E7972"/>
    <w:rsid w:val="004F0D0C"/>
    <w:rsid w:val="004F211B"/>
    <w:rsid w:val="005077FB"/>
    <w:rsid w:val="00513D9D"/>
    <w:rsid w:val="0051459E"/>
    <w:rsid w:val="0053281C"/>
    <w:rsid w:val="00532CDF"/>
    <w:rsid w:val="00533C10"/>
    <w:rsid w:val="00541AB4"/>
    <w:rsid w:val="00543CA9"/>
    <w:rsid w:val="00545D7D"/>
    <w:rsid w:val="0055192D"/>
    <w:rsid w:val="00557127"/>
    <w:rsid w:val="005575CA"/>
    <w:rsid w:val="005611AC"/>
    <w:rsid w:val="00561CC4"/>
    <w:rsid w:val="00565209"/>
    <w:rsid w:val="00577B86"/>
    <w:rsid w:val="005806A2"/>
    <w:rsid w:val="00580EC6"/>
    <w:rsid w:val="0059042A"/>
    <w:rsid w:val="00590894"/>
    <w:rsid w:val="0059242E"/>
    <w:rsid w:val="00595003"/>
    <w:rsid w:val="005A15D7"/>
    <w:rsid w:val="005A1A1E"/>
    <w:rsid w:val="005A1ECF"/>
    <w:rsid w:val="005B0311"/>
    <w:rsid w:val="005B28D9"/>
    <w:rsid w:val="005B3D40"/>
    <w:rsid w:val="005B45F1"/>
    <w:rsid w:val="005B5FC8"/>
    <w:rsid w:val="005C4311"/>
    <w:rsid w:val="005C6870"/>
    <w:rsid w:val="005D1ABE"/>
    <w:rsid w:val="005D696F"/>
    <w:rsid w:val="005E6FED"/>
    <w:rsid w:val="005F08E5"/>
    <w:rsid w:val="00604FCC"/>
    <w:rsid w:val="00605537"/>
    <w:rsid w:val="00610942"/>
    <w:rsid w:val="006168DC"/>
    <w:rsid w:val="00621F25"/>
    <w:rsid w:val="00623FCF"/>
    <w:rsid w:val="00627187"/>
    <w:rsid w:val="00627753"/>
    <w:rsid w:val="006277C0"/>
    <w:rsid w:val="00632692"/>
    <w:rsid w:val="0063579B"/>
    <w:rsid w:val="00637E41"/>
    <w:rsid w:val="00640B9D"/>
    <w:rsid w:val="00641868"/>
    <w:rsid w:val="00644E95"/>
    <w:rsid w:val="00655382"/>
    <w:rsid w:val="00657A5A"/>
    <w:rsid w:val="00664AE0"/>
    <w:rsid w:val="00666793"/>
    <w:rsid w:val="0067126D"/>
    <w:rsid w:val="00671525"/>
    <w:rsid w:val="00672C15"/>
    <w:rsid w:val="00677FEB"/>
    <w:rsid w:val="00690AD2"/>
    <w:rsid w:val="00692864"/>
    <w:rsid w:val="00692B59"/>
    <w:rsid w:val="006954DF"/>
    <w:rsid w:val="00697AEA"/>
    <w:rsid w:val="00697D0E"/>
    <w:rsid w:val="006A0293"/>
    <w:rsid w:val="006A3795"/>
    <w:rsid w:val="006B02C5"/>
    <w:rsid w:val="006B1C7F"/>
    <w:rsid w:val="006B4AE0"/>
    <w:rsid w:val="006B5511"/>
    <w:rsid w:val="006D209E"/>
    <w:rsid w:val="006D4CFD"/>
    <w:rsid w:val="006D4D83"/>
    <w:rsid w:val="006E3A07"/>
    <w:rsid w:val="006E40BB"/>
    <w:rsid w:val="006E4D6C"/>
    <w:rsid w:val="006E614A"/>
    <w:rsid w:val="006E6805"/>
    <w:rsid w:val="006E6FA7"/>
    <w:rsid w:val="006F27BF"/>
    <w:rsid w:val="006F3FF9"/>
    <w:rsid w:val="006F4CCE"/>
    <w:rsid w:val="006F6043"/>
    <w:rsid w:val="006F7CB0"/>
    <w:rsid w:val="00702004"/>
    <w:rsid w:val="00706875"/>
    <w:rsid w:val="00710C2A"/>
    <w:rsid w:val="00711456"/>
    <w:rsid w:val="00713D95"/>
    <w:rsid w:val="007142DE"/>
    <w:rsid w:val="00720EC8"/>
    <w:rsid w:val="007241D4"/>
    <w:rsid w:val="0072658D"/>
    <w:rsid w:val="00726F83"/>
    <w:rsid w:val="0073149E"/>
    <w:rsid w:val="0073377D"/>
    <w:rsid w:val="00733CCE"/>
    <w:rsid w:val="0074242F"/>
    <w:rsid w:val="00743DD2"/>
    <w:rsid w:val="00745853"/>
    <w:rsid w:val="0075081D"/>
    <w:rsid w:val="00754E7E"/>
    <w:rsid w:val="007571E2"/>
    <w:rsid w:val="0076028F"/>
    <w:rsid w:val="00766258"/>
    <w:rsid w:val="0076783E"/>
    <w:rsid w:val="00767D98"/>
    <w:rsid w:val="00772F5B"/>
    <w:rsid w:val="00775030"/>
    <w:rsid w:val="0077520D"/>
    <w:rsid w:val="00776C9A"/>
    <w:rsid w:val="00777884"/>
    <w:rsid w:val="00781BFC"/>
    <w:rsid w:val="0078229D"/>
    <w:rsid w:val="007855F6"/>
    <w:rsid w:val="00785D0A"/>
    <w:rsid w:val="00791423"/>
    <w:rsid w:val="007932B7"/>
    <w:rsid w:val="007952D4"/>
    <w:rsid w:val="00797604"/>
    <w:rsid w:val="007A1134"/>
    <w:rsid w:val="007A352F"/>
    <w:rsid w:val="007A5054"/>
    <w:rsid w:val="007A63E4"/>
    <w:rsid w:val="007A6437"/>
    <w:rsid w:val="007B0159"/>
    <w:rsid w:val="007B2A07"/>
    <w:rsid w:val="007B571D"/>
    <w:rsid w:val="007B5B8F"/>
    <w:rsid w:val="007B74A6"/>
    <w:rsid w:val="007D042A"/>
    <w:rsid w:val="007D5848"/>
    <w:rsid w:val="007E456F"/>
    <w:rsid w:val="007E5327"/>
    <w:rsid w:val="007E6D56"/>
    <w:rsid w:val="007F4001"/>
    <w:rsid w:val="007F55EB"/>
    <w:rsid w:val="007F6278"/>
    <w:rsid w:val="007F632E"/>
    <w:rsid w:val="008029D3"/>
    <w:rsid w:val="00803009"/>
    <w:rsid w:val="00805628"/>
    <w:rsid w:val="008157CE"/>
    <w:rsid w:val="00816CD2"/>
    <w:rsid w:val="00820F0C"/>
    <w:rsid w:val="00822A10"/>
    <w:rsid w:val="00824A98"/>
    <w:rsid w:val="00826F8A"/>
    <w:rsid w:val="00831FE9"/>
    <w:rsid w:val="00847AE7"/>
    <w:rsid w:val="008516DA"/>
    <w:rsid w:val="00856139"/>
    <w:rsid w:val="00856B3D"/>
    <w:rsid w:val="008573F8"/>
    <w:rsid w:val="00862249"/>
    <w:rsid w:val="0086373B"/>
    <w:rsid w:val="00867D75"/>
    <w:rsid w:val="00872358"/>
    <w:rsid w:val="0087557D"/>
    <w:rsid w:val="00881AF4"/>
    <w:rsid w:val="008835AE"/>
    <w:rsid w:val="00890E59"/>
    <w:rsid w:val="008918AF"/>
    <w:rsid w:val="008924BF"/>
    <w:rsid w:val="008A1273"/>
    <w:rsid w:val="008A21E5"/>
    <w:rsid w:val="008A299F"/>
    <w:rsid w:val="008A4A29"/>
    <w:rsid w:val="008A5142"/>
    <w:rsid w:val="008B697B"/>
    <w:rsid w:val="008C3CF9"/>
    <w:rsid w:val="008E1707"/>
    <w:rsid w:val="008E5BC1"/>
    <w:rsid w:val="008F7A1E"/>
    <w:rsid w:val="00912BC4"/>
    <w:rsid w:val="00920915"/>
    <w:rsid w:val="009233E1"/>
    <w:rsid w:val="00924ECB"/>
    <w:rsid w:val="00925E69"/>
    <w:rsid w:val="0092634F"/>
    <w:rsid w:val="0093382A"/>
    <w:rsid w:val="00935CAA"/>
    <w:rsid w:val="00941504"/>
    <w:rsid w:val="00952A36"/>
    <w:rsid w:val="00957E6E"/>
    <w:rsid w:val="009600B1"/>
    <w:rsid w:val="0096625D"/>
    <w:rsid w:val="00966FE6"/>
    <w:rsid w:val="00970479"/>
    <w:rsid w:val="00971B2E"/>
    <w:rsid w:val="009770F2"/>
    <w:rsid w:val="00977DFB"/>
    <w:rsid w:val="00981726"/>
    <w:rsid w:val="00985384"/>
    <w:rsid w:val="00985A53"/>
    <w:rsid w:val="00985C5A"/>
    <w:rsid w:val="009A6BCD"/>
    <w:rsid w:val="009B119C"/>
    <w:rsid w:val="009B3F9B"/>
    <w:rsid w:val="009B49F5"/>
    <w:rsid w:val="009B7F35"/>
    <w:rsid w:val="009D0F73"/>
    <w:rsid w:val="009D65B6"/>
    <w:rsid w:val="009E1151"/>
    <w:rsid w:val="009E2069"/>
    <w:rsid w:val="009E3CD8"/>
    <w:rsid w:val="009E797E"/>
    <w:rsid w:val="009F118B"/>
    <w:rsid w:val="009F270E"/>
    <w:rsid w:val="00A00E02"/>
    <w:rsid w:val="00A0197D"/>
    <w:rsid w:val="00A073CB"/>
    <w:rsid w:val="00A12C5D"/>
    <w:rsid w:val="00A164E0"/>
    <w:rsid w:val="00A16E6F"/>
    <w:rsid w:val="00A17D27"/>
    <w:rsid w:val="00A2007D"/>
    <w:rsid w:val="00A2213C"/>
    <w:rsid w:val="00A233D7"/>
    <w:rsid w:val="00A262E1"/>
    <w:rsid w:val="00A26BDE"/>
    <w:rsid w:val="00A27EA0"/>
    <w:rsid w:val="00A33F84"/>
    <w:rsid w:val="00A35142"/>
    <w:rsid w:val="00A372DA"/>
    <w:rsid w:val="00A378FD"/>
    <w:rsid w:val="00A413F3"/>
    <w:rsid w:val="00A44C96"/>
    <w:rsid w:val="00A55C06"/>
    <w:rsid w:val="00A5752A"/>
    <w:rsid w:val="00A62DFF"/>
    <w:rsid w:val="00A637B8"/>
    <w:rsid w:val="00A64067"/>
    <w:rsid w:val="00A65C3A"/>
    <w:rsid w:val="00A73BB7"/>
    <w:rsid w:val="00A75F01"/>
    <w:rsid w:val="00A82294"/>
    <w:rsid w:val="00A84623"/>
    <w:rsid w:val="00A857C8"/>
    <w:rsid w:val="00A86FAA"/>
    <w:rsid w:val="00A92617"/>
    <w:rsid w:val="00AA40A0"/>
    <w:rsid w:val="00AA5DA2"/>
    <w:rsid w:val="00AB3252"/>
    <w:rsid w:val="00AB48A8"/>
    <w:rsid w:val="00AB5505"/>
    <w:rsid w:val="00AB7368"/>
    <w:rsid w:val="00AC17E1"/>
    <w:rsid w:val="00AD2986"/>
    <w:rsid w:val="00AD4BF8"/>
    <w:rsid w:val="00AD5A98"/>
    <w:rsid w:val="00AD5C0A"/>
    <w:rsid w:val="00AE00C8"/>
    <w:rsid w:val="00AE27C2"/>
    <w:rsid w:val="00AE3D82"/>
    <w:rsid w:val="00AE4BD4"/>
    <w:rsid w:val="00AE56B6"/>
    <w:rsid w:val="00AF193E"/>
    <w:rsid w:val="00AF22C5"/>
    <w:rsid w:val="00AF77E1"/>
    <w:rsid w:val="00B01A9E"/>
    <w:rsid w:val="00B0283D"/>
    <w:rsid w:val="00B12899"/>
    <w:rsid w:val="00B13474"/>
    <w:rsid w:val="00B15706"/>
    <w:rsid w:val="00B16C2B"/>
    <w:rsid w:val="00B20EEE"/>
    <w:rsid w:val="00B27E26"/>
    <w:rsid w:val="00B30489"/>
    <w:rsid w:val="00B37534"/>
    <w:rsid w:val="00B454C0"/>
    <w:rsid w:val="00B454D0"/>
    <w:rsid w:val="00B61325"/>
    <w:rsid w:val="00B62BD1"/>
    <w:rsid w:val="00B6555F"/>
    <w:rsid w:val="00B70C92"/>
    <w:rsid w:val="00B72A55"/>
    <w:rsid w:val="00B76872"/>
    <w:rsid w:val="00B81413"/>
    <w:rsid w:val="00B8421D"/>
    <w:rsid w:val="00B8485A"/>
    <w:rsid w:val="00B85D81"/>
    <w:rsid w:val="00B87617"/>
    <w:rsid w:val="00B95CDB"/>
    <w:rsid w:val="00BA34DC"/>
    <w:rsid w:val="00BA5EF8"/>
    <w:rsid w:val="00BA6AB2"/>
    <w:rsid w:val="00BA6B30"/>
    <w:rsid w:val="00BA7283"/>
    <w:rsid w:val="00BA7A01"/>
    <w:rsid w:val="00BB069D"/>
    <w:rsid w:val="00BB12C7"/>
    <w:rsid w:val="00BB2035"/>
    <w:rsid w:val="00BB7C85"/>
    <w:rsid w:val="00BB7E67"/>
    <w:rsid w:val="00BD01D0"/>
    <w:rsid w:val="00BD0532"/>
    <w:rsid w:val="00BD1D30"/>
    <w:rsid w:val="00BD31D2"/>
    <w:rsid w:val="00BD535D"/>
    <w:rsid w:val="00BE0DD6"/>
    <w:rsid w:val="00BE5DF2"/>
    <w:rsid w:val="00BE7CCA"/>
    <w:rsid w:val="00BF476D"/>
    <w:rsid w:val="00BF4E9B"/>
    <w:rsid w:val="00C070E4"/>
    <w:rsid w:val="00C07681"/>
    <w:rsid w:val="00C13070"/>
    <w:rsid w:val="00C17508"/>
    <w:rsid w:val="00C202FE"/>
    <w:rsid w:val="00C238C3"/>
    <w:rsid w:val="00C264C8"/>
    <w:rsid w:val="00C26A1B"/>
    <w:rsid w:val="00C34A5E"/>
    <w:rsid w:val="00C34CC6"/>
    <w:rsid w:val="00C3555F"/>
    <w:rsid w:val="00C40551"/>
    <w:rsid w:val="00C40F55"/>
    <w:rsid w:val="00C41E6D"/>
    <w:rsid w:val="00C42AD3"/>
    <w:rsid w:val="00C56C79"/>
    <w:rsid w:val="00C56F58"/>
    <w:rsid w:val="00C60025"/>
    <w:rsid w:val="00C62C9E"/>
    <w:rsid w:val="00C755D2"/>
    <w:rsid w:val="00C84B42"/>
    <w:rsid w:val="00C86B43"/>
    <w:rsid w:val="00C8799D"/>
    <w:rsid w:val="00C9503E"/>
    <w:rsid w:val="00C9507D"/>
    <w:rsid w:val="00CA0084"/>
    <w:rsid w:val="00CA50BD"/>
    <w:rsid w:val="00CA5F26"/>
    <w:rsid w:val="00CB299A"/>
    <w:rsid w:val="00CB51F4"/>
    <w:rsid w:val="00CB6047"/>
    <w:rsid w:val="00CC1270"/>
    <w:rsid w:val="00CC3768"/>
    <w:rsid w:val="00CC37AF"/>
    <w:rsid w:val="00CC4849"/>
    <w:rsid w:val="00CC62C0"/>
    <w:rsid w:val="00CD1F5E"/>
    <w:rsid w:val="00CD5828"/>
    <w:rsid w:val="00CE1723"/>
    <w:rsid w:val="00CE2F29"/>
    <w:rsid w:val="00CE61D4"/>
    <w:rsid w:val="00CF01B4"/>
    <w:rsid w:val="00CF0B22"/>
    <w:rsid w:val="00CF49B9"/>
    <w:rsid w:val="00CF71F3"/>
    <w:rsid w:val="00D0308A"/>
    <w:rsid w:val="00D10AE0"/>
    <w:rsid w:val="00D10BBE"/>
    <w:rsid w:val="00D11E72"/>
    <w:rsid w:val="00D13547"/>
    <w:rsid w:val="00D21565"/>
    <w:rsid w:val="00D309B8"/>
    <w:rsid w:val="00D30F6E"/>
    <w:rsid w:val="00D35875"/>
    <w:rsid w:val="00D378B0"/>
    <w:rsid w:val="00D40A59"/>
    <w:rsid w:val="00D413D3"/>
    <w:rsid w:val="00D54686"/>
    <w:rsid w:val="00D606B8"/>
    <w:rsid w:val="00D6187C"/>
    <w:rsid w:val="00D647F8"/>
    <w:rsid w:val="00D6510E"/>
    <w:rsid w:val="00D67A57"/>
    <w:rsid w:val="00D7065D"/>
    <w:rsid w:val="00D75547"/>
    <w:rsid w:val="00D7794E"/>
    <w:rsid w:val="00D7795B"/>
    <w:rsid w:val="00D82E2E"/>
    <w:rsid w:val="00D8590D"/>
    <w:rsid w:val="00D865E2"/>
    <w:rsid w:val="00D87853"/>
    <w:rsid w:val="00D91814"/>
    <w:rsid w:val="00D93021"/>
    <w:rsid w:val="00D9438C"/>
    <w:rsid w:val="00DA218D"/>
    <w:rsid w:val="00DA66E0"/>
    <w:rsid w:val="00DB194C"/>
    <w:rsid w:val="00DB1FE7"/>
    <w:rsid w:val="00DB3A59"/>
    <w:rsid w:val="00DB3E4A"/>
    <w:rsid w:val="00DC178C"/>
    <w:rsid w:val="00DC50F6"/>
    <w:rsid w:val="00DE0B71"/>
    <w:rsid w:val="00DE28DF"/>
    <w:rsid w:val="00DE2BE5"/>
    <w:rsid w:val="00DE5888"/>
    <w:rsid w:val="00DE5AE7"/>
    <w:rsid w:val="00DE6B2F"/>
    <w:rsid w:val="00DF26F0"/>
    <w:rsid w:val="00DF63E2"/>
    <w:rsid w:val="00E01524"/>
    <w:rsid w:val="00E046C3"/>
    <w:rsid w:val="00E07DE5"/>
    <w:rsid w:val="00E1277C"/>
    <w:rsid w:val="00E12D9E"/>
    <w:rsid w:val="00E17D80"/>
    <w:rsid w:val="00E218DA"/>
    <w:rsid w:val="00E21CE0"/>
    <w:rsid w:val="00E21D5C"/>
    <w:rsid w:val="00E2222E"/>
    <w:rsid w:val="00E23C6C"/>
    <w:rsid w:val="00E273AF"/>
    <w:rsid w:val="00E31B0A"/>
    <w:rsid w:val="00E341D7"/>
    <w:rsid w:val="00E403A5"/>
    <w:rsid w:val="00E458D7"/>
    <w:rsid w:val="00E46009"/>
    <w:rsid w:val="00E51DD1"/>
    <w:rsid w:val="00E541CB"/>
    <w:rsid w:val="00E60D13"/>
    <w:rsid w:val="00E668D5"/>
    <w:rsid w:val="00E67DC2"/>
    <w:rsid w:val="00E73D15"/>
    <w:rsid w:val="00E75248"/>
    <w:rsid w:val="00E77800"/>
    <w:rsid w:val="00E80D0E"/>
    <w:rsid w:val="00E85E98"/>
    <w:rsid w:val="00E909BE"/>
    <w:rsid w:val="00E923C4"/>
    <w:rsid w:val="00E95F3D"/>
    <w:rsid w:val="00E96FFC"/>
    <w:rsid w:val="00EA096C"/>
    <w:rsid w:val="00EA31C5"/>
    <w:rsid w:val="00EA6942"/>
    <w:rsid w:val="00EB0210"/>
    <w:rsid w:val="00EB1FBA"/>
    <w:rsid w:val="00EB5DF6"/>
    <w:rsid w:val="00EC010F"/>
    <w:rsid w:val="00EC3104"/>
    <w:rsid w:val="00EC43DD"/>
    <w:rsid w:val="00EC6882"/>
    <w:rsid w:val="00EC741F"/>
    <w:rsid w:val="00EC769F"/>
    <w:rsid w:val="00ED164C"/>
    <w:rsid w:val="00ED788D"/>
    <w:rsid w:val="00EE0C0E"/>
    <w:rsid w:val="00EE4400"/>
    <w:rsid w:val="00EE5287"/>
    <w:rsid w:val="00EF1456"/>
    <w:rsid w:val="00EF1915"/>
    <w:rsid w:val="00EF45F1"/>
    <w:rsid w:val="00EF4A38"/>
    <w:rsid w:val="00EF7520"/>
    <w:rsid w:val="00F0008F"/>
    <w:rsid w:val="00F00F28"/>
    <w:rsid w:val="00F03BE1"/>
    <w:rsid w:val="00F03C83"/>
    <w:rsid w:val="00F04EDC"/>
    <w:rsid w:val="00F0598C"/>
    <w:rsid w:val="00F05AE8"/>
    <w:rsid w:val="00F063F5"/>
    <w:rsid w:val="00F12605"/>
    <w:rsid w:val="00F15286"/>
    <w:rsid w:val="00F178AC"/>
    <w:rsid w:val="00F201F7"/>
    <w:rsid w:val="00F234DD"/>
    <w:rsid w:val="00F24D95"/>
    <w:rsid w:val="00F26F9A"/>
    <w:rsid w:val="00F319CC"/>
    <w:rsid w:val="00F319E7"/>
    <w:rsid w:val="00F32FC3"/>
    <w:rsid w:val="00F37192"/>
    <w:rsid w:val="00F42809"/>
    <w:rsid w:val="00F43D4E"/>
    <w:rsid w:val="00F44858"/>
    <w:rsid w:val="00F65A48"/>
    <w:rsid w:val="00F672C8"/>
    <w:rsid w:val="00F7651B"/>
    <w:rsid w:val="00F76BAA"/>
    <w:rsid w:val="00F807B2"/>
    <w:rsid w:val="00F8669C"/>
    <w:rsid w:val="00F90A47"/>
    <w:rsid w:val="00F93864"/>
    <w:rsid w:val="00F9470E"/>
    <w:rsid w:val="00FB3378"/>
    <w:rsid w:val="00FB3F5E"/>
    <w:rsid w:val="00FC2725"/>
    <w:rsid w:val="00FC2CBA"/>
    <w:rsid w:val="00FC2DCC"/>
    <w:rsid w:val="00FD06D8"/>
    <w:rsid w:val="00FD2AEB"/>
    <w:rsid w:val="00FD6573"/>
    <w:rsid w:val="00FE0055"/>
    <w:rsid w:val="00FE0C91"/>
    <w:rsid w:val="00FE2176"/>
    <w:rsid w:val="00FE2F4F"/>
    <w:rsid w:val="00FF0A9D"/>
    <w:rsid w:val="00FF1D08"/>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CAEAA"/>
  <w15:chartTrackingRefBased/>
  <w15:docId w15:val="{29823FA7-23C9-41B2-8BDD-E41FB1EB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65B6"/>
  </w:style>
  <w:style w:type="paragraph" w:styleId="Titre1">
    <w:name w:val="heading 1"/>
    <w:aliases w:val="BREVES ECO Titre 1"/>
    <w:basedOn w:val="Normal"/>
    <w:next w:val="Normal"/>
    <w:link w:val="Titre1Car"/>
    <w:autoRedefine/>
    <w:uiPriority w:val="9"/>
    <w:qFormat/>
    <w:rsid w:val="00AF77E1"/>
    <w:pPr>
      <w:keepNext/>
      <w:keepLines/>
      <w:spacing w:before="480" w:after="120" w:line="216" w:lineRule="auto"/>
      <w:outlineLvl w:val="0"/>
    </w:pPr>
    <w:rPr>
      <w:rFonts w:ascii="Marianne ExtraBold" w:eastAsiaTheme="majorEastAsia" w:hAnsi="Marianne ExtraBold" w:cstheme="majorBidi"/>
      <w:noProof/>
      <w:color w:val="FCC63A" w:themeColor="accent2"/>
      <w:sz w:val="36"/>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AF77E1"/>
    <w:rPr>
      <w:rFonts w:ascii="Marianne ExtraBold" w:eastAsiaTheme="majorEastAsia" w:hAnsi="Marianne ExtraBold" w:cstheme="majorBidi"/>
      <w:noProof/>
      <w:color w:val="FCC63A" w:themeColor="accent2"/>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F319CC"/>
    <w:rPr>
      <w:color w:val="6D6DFF" w:themeColor="text1" w:themeTint="66"/>
      <w:sz w:val="28"/>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F319CC"/>
    <w:rPr>
      <w:rFonts w:ascii="Marianne ExtraBold" w:eastAsiaTheme="majorEastAsia" w:hAnsi="Marianne ExtraBold" w:cstheme="majorBidi"/>
      <w:noProof/>
      <w:color w:val="6D6DFF" w:themeColor="text1" w:themeTint="66"/>
      <w:sz w:val="28"/>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link w:val="Brvesco-NormalCar"/>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link w:val="Brvesco-Titre3Car"/>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 w:type="paragraph" w:styleId="En-ttedetabledesmatires">
    <w:name w:val="TOC Heading"/>
    <w:basedOn w:val="Titre1"/>
    <w:next w:val="Normal"/>
    <w:uiPriority w:val="39"/>
    <w:unhideWhenUsed/>
    <w:qFormat/>
    <w:rsid w:val="00C40551"/>
    <w:pPr>
      <w:spacing w:before="240" w:after="0" w:line="259" w:lineRule="auto"/>
      <w:outlineLvl w:val="9"/>
    </w:pPr>
    <w:rPr>
      <w:rFonts w:asciiTheme="majorHAnsi" w:hAnsiTheme="majorHAnsi"/>
      <w:color w:val="006B60" w:themeColor="accent1" w:themeShade="BF"/>
      <w:sz w:val="32"/>
      <w:szCs w:val="32"/>
      <w:lang w:eastAsia="fr-FR"/>
    </w:rPr>
  </w:style>
  <w:style w:type="paragraph" w:styleId="TM1">
    <w:name w:val="toc 1"/>
    <w:basedOn w:val="Brvesco-Titre3"/>
    <w:next w:val="Brvesco-Titre3"/>
    <w:link w:val="TM1Car"/>
    <w:autoRedefine/>
    <w:uiPriority w:val="39"/>
    <w:unhideWhenUsed/>
    <w:rsid w:val="004A2794"/>
    <w:pPr>
      <w:tabs>
        <w:tab w:val="right" w:leader="dot" w:pos="4172"/>
      </w:tabs>
      <w:spacing w:after="100"/>
      <w:jc w:val="both"/>
    </w:pPr>
    <w:rPr>
      <w:b/>
      <w:bCs/>
      <w:noProof/>
      <w:color w:val="6A6AF4" w:themeColor="text2"/>
      <w:sz w:val="28"/>
      <w:szCs w:val="28"/>
    </w:rPr>
  </w:style>
  <w:style w:type="character" w:customStyle="1" w:styleId="Brvesco-NormalCar">
    <w:name w:val="BrèvesÉco - Normal Car"/>
    <w:basedOn w:val="Policepardfaut"/>
    <w:link w:val="Brvesco-Normal"/>
    <w:rsid w:val="001A1CF0"/>
    <w:rPr>
      <w:rFonts w:ascii="Marianne" w:hAnsi="Marianne" w:cs="Times New Roman (Corps CS)"/>
      <w:color w:val="1A171B"/>
      <w:sz w:val="20"/>
      <w:szCs w:val="24"/>
    </w:rPr>
  </w:style>
  <w:style w:type="character" w:customStyle="1" w:styleId="Brvesco-Titre3Car">
    <w:name w:val="BrèvesÉco - Titre 3 Car"/>
    <w:basedOn w:val="Brvesco-NormalCar"/>
    <w:link w:val="Brvesco-Titre3"/>
    <w:rsid w:val="001A1CF0"/>
    <w:rPr>
      <w:rFonts w:ascii="Marianne Medium" w:hAnsi="Marianne Medium" w:cs="Times New Roman (Corps CS)"/>
      <w:color w:val="5770BE"/>
      <w:sz w:val="26"/>
      <w:szCs w:val="24"/>
      <w:lang w:val="en-US"/>
    </w:rPr>
  </w:style>
  <w:style w:type="character" w:customStyle="1" w:styleId="TM1Car">
    <w:name w:val="TM 1 Car"/>
    <w:basedOn w:val="Brvesco-Titre3Car"/>
    <w:link w:val="TM1"/>
    <w:uiPriority w:val="39"/>
    <w:rsid w:val="004A2794"/>
    <w:rPr>
      <w:rFonts w:ascii="Marianne Medium" w:hAnsi="Marianne Medium" w:cs="Times New Roman (Corps CS)"/>
      <w:b/>
      <w:bCs/>
      <w:noProof/>
      <w:color w:val="6A6AF4" w:themeColor="text2"/>
      <w:sz w:val="28"/>
      <w:szCs w:val="28"/>
      <w:lang w:val="en-US"/>
    </w:rPr>
  </w:style>
  <w:style w:type="character" w:customStyle="1" w:styleId="TM2Car">
    <w:name w:val="TM 2 Car"/>
    <w:basedOn w:val="Chapeau-BREVESECOCar"/>
    <w:link w:val="TM2"/>
    <w:uiPriority w:val="39"/>
    <w:semiHidden/>
    <w:rsid w:val="001A1CF0"/>
    <w:rPr>
      <w:rFonts w:ascii="Marianne Light" w:hAnsi="Marianne Light"/>
      <w:color w:val="6A6AF4" w:themeColor="text2"/>
      <w:sz w:val="26"/>
      <w:szCs w:val="26"/>
    </w:rPr>
  </w:style>
  <w:style w:type="paragraph" w:styleId="TM2">
    <w:name w:val="toc 2"/>
    <w:basedOn w:val="Chapeau-BREVESECO"/>
    <w:next w:val="Normal"/>
    <w:link w:val="TM2Car"/>
    <w:autoRedefine/>
    <w:uiPriority w:val="39"/>
    <w:unhideWhenUsed/>
    <w:rsid w:val="001A1CF0"/>
    <w:pPr>
      <w:spacing w:after="100"/>
      <w:ind w:left="220"/>
    </w:pPr>
  </w:style>
  <w:style w:type="paragraph" w:styleId="TM3">
    <w:name w:val="toc 3"/>
    <w:basedOn w:val="Normal"/>
    <w:next w:val="Normal"/>
    <w:autoRedefine/>
    <w:uiPriority w:val="39"/>
    <w:unhideWhenUsed/>
    <w:rsid w:val="00F672C8"/>
    <w:pPr>
      <w:spacing w:after="100"/>
      <w:ind w:left="440"/>
    </w:pPr>
    <w:rPr>
      <w:rFonts w:eastAsiaTheme="minorEastAsia" w:cs="Times New Roman"/>
      <w:lang w:eastAsia="fr-FR"/>
    </w:rPr>
  </w:style>
  <w:style w:type="paragraph" w:styleId="Rvision">
    <w:name w:val="Revision"/>
    <w:hidden/>
    <w:uiPriority w:val="99"/>
    <w:semiHidden/>
    <w:rsid w:val="00354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354619874">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mwk.de/Redaktion/DE/Pressemitteilungen/2024/03/20240312-erste-runde-klimaschutzvertraege.html" TargetMode="External"/><Relationship Id="rId18" Type="http://schemas.openxmlformats.org/officeDocument/2006/relationships/hyperlink" Target="https://www.bundesrat.de/DE/plenum/bundesrat-kompakt/24/1042/1042-pk.html?nn=435276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bmwk.de/Redaktion/EN/Pressemitteilungen/2024/03/20240304-eu-member-states-underline-importance-ofa-flexible-european-energy-system-as-key-element-of-the-energy-transition.html" TargetMode="External"/><Relationship Id="rId2" Type="http://schemas.openxmlformats.org/officeDocument/2006/relationships/customXml" Target="../customXml/item2.xml"/><Relationship Id="rId16" Type="http://schemas.openxmlformats.org/officeDocument/2006/relationships/hyperlink" Target="mailto:https://www.umweltbundesamt.de/presse/pressemitteilungen/klimaemissionen-sinken-2023-um-101-prozent" TargetMode="External"/><Relationship Id="rId20" Type="http://schemas.openxmlformats.org/officeDocument/2006/relationships/hyperlink" Target="http://www.tresor.economie.gouv.fr/tresor-internation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www.bmwk.de/Redaktion/DE/Pressemitteilungen/2024/03/20240320-zukunftsweisende-wasserstoff-und-ptx-kooperation.html" TargetMode="External"/><Relationship Id="rId10" Type="http://schemas.openxmlformats.org/officeDocument/2006/relationships/endnotes" Target="endnotes.xml"/><Relationship Id="rId19" Type="http://schemas.openxmlformats.org/officeDocument/2006/relationships/hyperlink" Target="http://www.tresor.economie.gouv.fr/tresor-internation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undesrechnungshof.de/SharedDocs/Downloads/DE/Berichte/2024/energiewende-volltext.pdf?__blob=publicationFile&amp;v=5"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lcourtade\Desktop\Veille%20Sectorielle%20%20Septembre.dotx" TargetMode="External"/></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71AABE5737FC4FB64D7E95FBB91CC3" ma:contentTypeVersion="1" ma:contentTypeDescription="Crée un document." ma:contentTypeScope="" ma:versionID="895706c839f1be2e1f4d0e49d7260dc8">
  <xsd:schema xmlns:xsd="http://www.w3.org/2001/XMLSchema" xmlns:xs="http://www.w3.org/2001/XMLSchema" xmlns:p="http://schemas.microsoft.com/office/2006/metadata/properties" xmlns:ns2="bd525c90-ea89-4d81-a173-e188d32d7a57" targetNamespace="http://schemas.microsoft.com/office/2006/metadata/properties" ma:root="true" ma:fieldsID="b8231691e35b52a835912ad1e1696f3b" ns2:_="">
    <xsd:import namespace="bd525c90-ea89-4d81-a173-e188d32d7a5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25c90-ea89-4d81-a173-e188d32d7a57"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0C9DA0-6ECA-4B13-B2AA-700D8A3BB809}">
  <ds:schemaRefs>
    <ds:schemaRef ds:uri="http://schemas.microsoft.com/office/2006/metadata/properties"/>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bd525c90-ea89-4d81-a173-e188d32d7a57"/>
    <ds:schemaRef ds:uri="http://www.w3.org/XML/1998/namespace"/>
    <ds:schemaRef ds:uri="http://purl.org/dc/terms/"/>
  </ds:schemaRefs>
</ds:datastoreItem>
</file>

<file path=customXml/itemProps2.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3.xml><?xml version="1.0" encoding="utf-8"?>
<ds:datastoreItem xmlns:ds="http://schemas.openxmlformats.org/officeDocument/2006/customXml" ds:itemID="{6129B276-0E13-4EEB-971B-2157971735EE}">
  <ds:schemaRefs>
    <ds:schemaRef ds:uri="http://schemas.microsoft.com/sharepoint/v3/contenttype/forms"/>
  </ds:schemaRefs>
</ds:datastoreItem>
</file>

<file path=customXml/itemProps4.xml><?xml version="1.0" encoding="utf-8"?>
<ds:datastoreItem xmlns:ds="http://schemas.openxmlformats.org/officeDocument/2006/customXml" ds:itemID="{76C2EB14-FFD8-4D3B-A01F-8E08DEBB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25c90-ea89-4d81-a173-e188d32d7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Veille Sectorielle  Septembre.dotx</Template>
  <TotalTime>602</TotalTime>
  <Pages>9</Pages>
  <Words>4355</Words>
  <Characters>23956</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28255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COURTADE Lucie</dc:creator>
  <cp:keywords>template</cp:keywords>
  <dc:description/>
  <cp:lastModifiedBy>LE TALLEC Bertrand</cp:lastModifiedBy>
  <cp:revision>57</cp:revision>
  <dcterms:created xsi:type="dcterms:W3CDTF">2024-01-31T14:56:00Z</dcterms:created>
  <dcterms:modified xsi:type="dcterms:W3CDTF">2024-04-10T10:03:00Z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0x0101002171AABE5737FC4FB64D7E95FBB91CC3</vt:lpwstr>
  </property>
</Properties>
</file>