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4DCEE7E7" w:rsidR="00301021" w:rsidRPr="00006E50" w:rsidRDefault="007939AE" w:rsidP="005E16F2">
      <w:pPr>
        <w:spacing w:after="240"/>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34FB05B7">
            <wp:simplePos x="0" y="0"/>
            <wp:positionH relativeFrom="column">
              <wp:posOffset>-506095</wp:posOffset>
            </wp:positionH>
            <wp:positionV relativeFrom="page">
              <wp:posOffset>312420</wp:posOffset>
            </wp:positionV>
            <wp:extent cx="2638425" cy="936625"/>
            <wp:effectExtent l="0" t="0" r="9525"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8">
                      <a:extLst>
                        <a:ext uri="{28A0092B-C50C-407E-A947-70E740481C1C}">
                          <a14:useLocalDpi xmlns:a14="http://schemas.microsoft.com/office/drawing/2010/main" val="0"/>
                        </a:ext>
                      </a:extLst>
                    </a:blip>
                    <a:stretch>
                      <a:fillRect/>
                    </a:stretch>
                  </pic:blipFill>
                  <pic:spPr>
                    <a:xfrm>
                      <a:off x="0" y="0"/>
                      <a:ext cx="2638425" cy="93662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6F0F3C12" w:rsidR="00532CE3" w:rsidRDefault="00B25887" w:rsidP="00532CE3">
                            <w:pPr>
                              <w:jc w:val="center"/>
                            </w:pPr>
                            <w:r>
                              <w:rPr>
                                <w:rFonts w:ascii="Segoe UI" w:hAnsi="Segoe UI" w:cs="Segoe UI"/>
                                <w:b/>
                                <w:bCs/>
                                <w:color w:val="000091" w:themeColor="text1"/>
                                <w:sz w:val="32"/>
                                <w:szCs w:val="20"/>
                              </w:rPr>
                              <w:t>LETTONIE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6F0F3C12" w:rsidR="00532CE3" w:rsidRDefault="00B25887" w:rsidP="00532CE3">
                      <w:pPr>
                        <w:jc w:val="center"/>
                      </w:pPr>
                      <w:r>
                        <w:rPr>
                          <w:rFonts w:ascii="Segoe UI" w:hAnsi="Segoe UI" w:cs="Segoe UI"/>
                          <w:b/>
                          <w:bCs/>
                          <w:color w:val="000091" w:themeColor="text1"/>
                          <w:sz w:val="32"/>
                          <w:szCs w:val="20"/>
                        </w:rPr>
                        <w:t>LETTONIE</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576A7A0F" w:rsidR="00490B3C" w:rsidRPr="00A7004D" w:rsidRDefault="00490B3C" w:rsidP="00490B3C">
                            <w:pPr>
                              <w:tabs>
                                <w:tab w:val="left" w:pos="3969"/>
                              </w:tabs>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B25887">
                              <w:rPr>
                                <w:rFonts w:ascii="Segoe UI" w:hAnsi="Segoe UI" w:cs="Segoe UI"/>
                                <w:color w:val="000091" w:themeColor="text1"/>
                                <w:sz w:val="17"/>
                                <w:szCs w:val="17"/>
                                <w:lang w:eastAsia="ja-JP"/>
                              </w:rPr>
                              <w:t>Elodie DUPAS</w:t>
                            </w:r>
                          </w:p>
                          <w:p w14:paraId="07E31681" w14:textId="6A08C482" w:rsidR="00490B3C" w:rsidRPr="00A7004D" w:rsidRDefault="00E71EA6" w:rsidP="00490B3C">
                            <w:pPr>
                              <w:tabs>
                                <w:tab w:val="left" w:pos="3969"/>
                              </w:tabs>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Revu par</w:t>
                            </w:r>
                            <w:r w:rsidR="00490B3C" w:rsidRPr="00A7004D">
                              <w:rPr>
                                <w:rFonts w:ascii="Segoe UI" w:hAnsi="Segoe UI" w:cs="Segoe UI"/>
                                <w:color w:val="000091" w:themeColor="text1"/>
                                <w:sz w:val="17"/>
                                <w:szCs w:val="17"/>
                                <w:lang w:eastAsia="ja-JP"/>
                              </w:rPr>
                              <w:t xml:space="preserve"> : </w:t>
                            </w:r>
                            <w:r>
                              <w:rPr>
                                <w:rFonts w:ascii="Segoe UI" w:hAnsi="Segoe UI" w:cs="Segoe UI"/>
                                <w:color w:val="000091" w:themeColor="text1"/>
                                <w:sz w:val="17"/>
                                <w:szCs w:val="17"/>
                                <w:lang w:eastAsia="ja-JP"/>
                              </w:rPr>
                              <w:t>Jean CARO</w:t>
                            </w:r>
                          </w:p>
                          <w:p w14:paraId="067872AE" w14:textId="7EEE9B92" w:rsidR="008A3AD5" w:rsidRPr="00A0743B" w:rsidRDefault="008A3AD5" w:rsidP="00E71EA6">
                            <w:pPr>
                              <w:ind w:left="142" w:right="-88"/>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576A7A0F" w:rsidR="00490B3C" w:rsidRPr="00A7004D" w:rsidRDefault="00490B3C" w:rsidP="00490B3C">
                      <w:pPr>
                        <w:tabs>
                          <w:tab w:val="left" w:pos="3969"/>
                        </w:tabs>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B25887">
                        <w:rPr>
                          <w:rFonts w:ascii="Segoe UI" w:hAnsi="Segoe UI" w:cs="Segoe UI"/>
                          <w:color w:val="000091" w:themeColor="text1"/>
                          <w:sz w:val="17"/>
                          <w:szCs w:val="17"/>
                          <w:lang w:eastAsia="ja-JP"/>
                        </w:rPr>
                        <w:t>Elodie DUPAS</w:t>
                      </w:r>
                    </w:p>
                    <w:p w14:paraId="07E31681" w14:textId="6A08C482" w:rsidR="00490B3C" w:rsidRPr="00A7004D" w:rsidRDefault="00E71EA6" w:rsidP="00490B3C">
                      <w:pPr>
                        <w:tabs>
                          <w:tab w:val="left" w:pos="3969"/>
                        </w:tabs>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Revu par</w:t>
                      </w:r>
                      <w:r w:rsidR="00490B3C" w:rsidRPr="00A7004D">
                        <w:rPr>
                          <w:rFonts w:ascii="Segoe UI" w:hAnsi="Segoe UI" w:cs="Segoe UI"/>
                          <w:color w:val="000091" w:themeColor="text1"/>
                          <w:sz w:val="17"/>
                          <w:szCs w:val="17"/>
                          <w:lang w:eastAsia="ja-JP"/>
                        </w:rPr>
                        <w:t xml:space="preserve"> : </w:t>
                      </w:r>
                      <w:r>
                        <w:rPr>
                          <w:rFonts w:ascii="Segoe UI" w:hAnsi="Segoe UI" w:cs="Segoe UI"/>
                          <w:color w:val="000091" w:themeColor="text1"/>
                          <w:sz w:val="17"/>
                          <w:szCs w:val="17"/>
                          <w:lang w:eastAsia="ja-JP"/>
                        </w:rPr>
                        <w:t>Jean CARO</w:t>
                      </w:r>
                    </w:p>
                    <w:p w14:paraId="067872AE" w14:textId="7EEE9B92" w:rsidR="008A3AD5" w:rsidRPr="00A0743B" w:rsidRDefault="008A3AD5" w:rsidP="00E71EA6">
                      <w:pPr>
                        <w:ind w:left="142" w:right="-88"/>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6573F85E" w:rsidR="00490B3C" w:rsidRPr="00532CE3" w:rsidRDefault="00B25887"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Riga</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 xml:space="preserve">le </w:t>
                            </w:r>
                            <w:r w:rsidR="00E71EA6">
                              <w:rPr>
                                <w:rFonts w:ascii="Segoe UI" w:hAnsi="Segoe UI" w:cs="Segoe UI"/>
                                <w:color w:val="986E02" w:themeColor="accent2" w:themeShade="80"/>
                                <w:sz w:val="17"/>
                                <w:szCs w:val="17"/>
                                <w:lang w:eastAsia="ja-JP"/>
                              </w:rPr>
                              <w:t>4 mars</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6573F85E" w:rsidR="00490B3C" w:rsidRPr="00532CE3" w:rsidRDefault="00B25887"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Riga</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 xml:space="preserve">le </w:t>
                      </w:r>
                      <w:r w:rsidR="00E71EA6">
                        <w:rPr>
                          <w:rFonts w:ascii="Segoe UI" w:hAnsi="Segoe UI" w:cs="Segoe UI"/>
                          <w:color w:val="986E02" w:themeColor="accent2" w:themeShade="80"/>
                          <w:sz w:val="17"/>
                          <w:szCs w:val="17"/>
                          <w:lang w:eastAsia="ja-JP"/>
                        </w:rPr>
                        <w:t>4 mars</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7A624523" w:rsidR="00490B3C" w:rsidRPr="00532CE3" w:rsidRDefault="00490B3C" w:rsidP="00490B3C">
                            <w:pPr>
                              <w:tabs>
                                <w:tab w:val="left" w:pos="3969"/>
                              </w:tabs>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B25887">
                              <w:rPr>
                                <w:rFonts w:ascii="Segoe UI" w:hAnsi="Segoe UI" w:cs="Segoe UI"/>
                                <w:bCs/>
                                <w:color w:val="000091" w:themeColor="text1"/>
                                <w:sz w:val="18"/>
                                <w:szCs w:val="18"/>
                                <w:lang w:eastAsia="ja-JP"/>
                              </w:rPr>
                              <w:t>France en Lettonie</w:t>
                            </w:r>
                          </w:p>
                          <w:p w14:paraId="3D62CBBB" w14:textId="5A6A4475" w:rsidR="008A3AD5" w:rsidRPr="00A0743B" w:rsidRDefault="00490B3C" w:rsidP="00490B3C">
                            <w:pPr>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B25887">
                              <w:rPr>
                                <w:rFonts w:ascii="Segoe UI" w:hAnsi="Segoe UI" w:cs="Segoe UI"/>
                                <w:bCs/>
                                <w:color w:val="000091" w:themeColor="text1"/>
                                <w:sz w:val="18"/>
                                <w:szCs w:val="18"/>
                                <w:lang w:eastAsia="ja-JP"/>
                              </w:rPr>
                              <w:t xml:space="preserve"> pour les Etats Baltes</w:t>
                            </w:r>
                            <w:r w:rsidR="008A3AD5" w:rsidRPr="00532CE3">
                              <w:rPr>
                                <w:rFonts w:ascii="Arial" w:hAnsi="Arial" w:cs="Arial"/>
                                <w:bCs/>
                              </w:rPr>
                              <w:tab/>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7A624523" w:rsidR="00490B3C" w:rsidRPr="00532CE3" w:rsidRDefault="00490B3C" w:rsidP="00490B3C">
                      <w:pPr>
                        <w:tabs>
                          <w:tab w:val="left" w:pos="3969"/>
                        </w:tabs>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B25887">
                        <w:rPr>
                          <w:rFonts w:ascii="Segoe UI" w:hAnsi="Segoe UI" w:cs="Segoe UI"/>
                          <w:bCs/>
                          <w:color w:val="000091" w:themeColor="text1"/>
                          <w:sz w:val="18"/>
                          <w:szCs w:val="18"/>
                          <w:lang w:eastAsia="ja-JP"/>
                        </w:rPr>
                        <w:t>France en Lettonie</w:t>
                      </w:r>
                    </w:p>
                    <w:p w14:paraId="3D62CBBB" w14:textId="5A6A4475" w:rsidR="008A3AD5" w:rsidRPr="00A0743B" w:rsidRDefault="00490B3C" w:rsidP="00490B3C">
                      <w:pPr>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B25887">
                        <w:rPr>
                          <w:rFonts w:ascii="Segoe UI" w:hAnsi="Segoe UI" w:cs="Segoe UI"/>
                          <w:bCs/>
                          <w:color w:val="000091" w:themeColor="text1"/>
                          <w:sz w:val="18"/>
                          <w:szCs w:val="18"/>
                          <w:lang w:eastAsia="ja-JP"/>
                        </w:rPr>
                        <w:t xml:space="preserve"> pour les Etats Baltes</w:t>
                      </w:r>
                      <w:r w:rsidR="008A3AD5" w:rsidRPr="00532CE3">
                        <w:rPr>
                          <w:rFonts w:ascii="Arial" w:hAnsi="Arial" w:cs="Arial"/>
                          <w:bCs/>
                        </w:rPr>
                        <w:tab/>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E64E7E">
        <w:rPr>
          <w:rFonts w:ascii="Segoe UI" w:hAnsi="Segoe UI" w:cs="Segoe UI"/>
          <w:color w:val="000091" w:themeColor="text1"/>
          <w:sz w:val="32"/>
          <w:szCs w:val="20"/>
        </w:rPr>
        <w:t>L</w:t>
      </w:r>
      <w:r w:rsidR="0028545C">
        <w:rPr>
          <w:rFonts w:ascii="Segoe UI" w:hAnsi="Segoe UI" w:cs="Segoe UI"/>
          <w:color w:val="000091" w:themeColor="text1"/>
          <w:sz w:val="32"/>
          <w:szCs w:val="20"/>
        </w:rPr>
        <w:t>e commerce extérieur en 2024, reflet de la stagnation de l’activité économique</w:t>
      </w:r>
    </w:p>
    <w:p w14:paraId="7D6C9CEE" w14:textId="587F2712" w:rsidR="005F3966" w:rsidRPr="00830648" w:rsidRDefault="00B27EC7" w:rsidP="005E16F2">
      <w:pPr>
        <w:pStyle w:val="Sansinterligne"/>
        <w:spacing w:after="240"/>
        <w:ind w:left="-284"/>
        <w:jc w:val="both"/>
        <w:rPr>
          <w:rFonts w:ascii="Segoe UI" w:hAnsi="Segoe UI" w:cs="Segoe UI"/>
          <w:noProof/>
          <w:color w:val="000091" w:themeColor="text1"/>
          <w:sz w:val="20"/>
          <w:szCs w:val="20"/>
          <w:lang w:val="es-419" w:eastAsia="fr-FR"/>
        </w:rPr>
      </w:pPr>
      <w:r w:rsidRPr="00466B78">
        <w:rPr>
          <w:rFonts w:ascii="Segoe UI" w:hAnsi="Segoe UI" w:cs="Segoe UI"/>
          <w:noProof/>
          <w:color w:val="000091" w:themeColor="text1"/>
          <w:sz w:val="20"/>
          <w:szCs w:val="20"/>
          <w:lang w:val="es-419" w:eastAsia="fr-FR"/>
        </w:rPr>
        <w:t>En 202</w:t>
      </w:r>
      <w:r w:rsidR="00CB67BF" w:rsidRPr="00466B78">
        <w:rPr>
          <w:rFonts w:ascii="Segoe UI" w:hAnsi="Segoe UI" w:cs="Segoe UI"/>
          <w:noProof/>
          <w:color w:val="000091" w:themeColor="text1"/>
          <w:sz w:val="20"/>
          <w:szCs w:val="20"/>
          <w:lang w:val="es-419" w:eastAsia="fr-FR"/>
        </w:rPr>
        <w:t>4</w:t>
      </w:r>
      <w:r w:rsidRPr="00466B78">
        <w:rPr>
          <w:rFonts w:ascii="Segoe UI" w:hAnsi="Segoe UI" w:cs="Segoe UI"/>
          <w:noProof/>
          <w:color w:val="000091" w:themeColor="text1"/>
          <w:sz w:val="20"/>
          <w:szCs w:val="20"/>
          <w:lang w:val="es-419" w:eastAsia="fr-FR"/>
        </w:rPr>
        <w:t>, le commerce extérieur de la Lettonie a</w:t>
      </w:r>
      <w:r w:rsidR="002F0A4B" w:rsidRPr="00466B78">
        <w:rPr>
          <w:rFonts w:ascii="Segoe UI" w:hAnsi="Segoe UI" w:cs="Segoe UI"/>
          <w:noProof/>
          <w:color w:val="000091" w:themeColor="text1"/>
          <w:sz w:val="20"/>
          <w:szCs w:val="20"/>
          <w:lang w:val="es-419" w:eastAsia="fr-FR"/>
        </w:rPr>
        <w:t xml:space="preserve"> augmenté de près de 5 % en volume, mais a</w:t>
      </w:r>
      <w:r w:rsidRPr="00466B78">
        <w:rPr>
          <w:rFonts w:ascii="Segoe UI" w:hAnsi="Segoe UI" w:cs="Segoe UI"/>
          <w:noProof/>
          <w:color w:val="000091" w:themeColor="text1"/>
          <w:sz w:val="20"/>
          <w:szCs w:val="20"/>
          <w:lang w:val="es-419" w:eastAsia="fr-FR"/>
        </w:rPr>
        <w:t xml:space="preserve"> diminué de près </w:t>
      </w:r>
      <w:r w:rsidR="00487DC4">
        <w:rPr>
          <w:rFonts w:ascii="Segoe UI" w:hAnsi="Segoe UI" w:cs="Segoe UI"/>
          <w:noProof/>
          <w:color w:val="000091" w:themeColor="text1"/>
          <w:sz w:val="20"/>
          <w:szCs w:val="20"/>
          <w:lang w:val="es-419" w:eastAsia="fr-FR"/>
        </w:rPr>
        <w:t xml:space="preserve"> de </w:t>
      </w:r>
      <w:r w:rsidR="002F0A4B" w:rsidRPr="00466B78">
        <w:rPr>
          <w:rFonts w:ascii="Segoe UI" w:hAnsi="Segoe UI" w:cs="Segoe UI"/>
          <w:noProof/>
          <w:color w:val="000091" w:themeColor="text1"/>
          <w:sz w:val="20"/>
          <w:szCs w:val="20"/>
          <w:lang w:val="es-419" w:eastAsia="fr-FR"/>
        </w:rPr>
        <w:t>5 %</w:t>
      </w:r>
      <w:r w:rsidRPr="00466B78">
        <w:rPr>
          <w:rFonts w:ascii="Segoe UI" w:hAnsi="Segoe UI" w:cs="Segoe UI"/>
          <w:noProof/>
          <w:color w:val="000091" w:themeColor="text1"/>
          <w:sz w:val="20"/>
          <w:szCs w:val="20"/>
          <w:lang w:val="es-419" w:eastAsia="fr-FR"/>
        </w:rPr>
        <w:t xml:space="preserve"> en valeur</w:t>
      </w:r>
      <w:r w:rsidR="00DE3243" w:rsidRPr="00466B78">
        <w:rPr>
          <w:rFonts w:ascii="Segoe UI" w:hAnsi="Segoe UI" w:cs="Segoe UI"/>
          <w:noProof/>
          <w:color w:val="000091" w:themeColor="text1"/>
          <w:sz w:val="20"/>
          <w:szCs w:val="20"/>
          <w:lang w:val="es-419" w:eastAsia="fr-FR"/>
        </w:rPr>
        <w:t xml:space="preserve">. </w:t>
      </w:r>
      <w:r w:rsidR="00772190" w:rsidRPr="00830648">
        <w:rPr>
          <w:rFonts w:ascii="Segoe UI" w:hAnsi="Segoe UI" w:cs="Segoe UI"/>
          <w:noProof/>
          <w:color w:val="000091" w:themeColor="text1"/>
          <w:sz w:val="20"/>
          <w:szCs w:val="20"/>
          <w:lang w:val="es-419" w:eastAsia="fr-FR"/>
        </w:rPr>
        <w:t>Cette contraction résulte du ralentissement économique en Lettonie et en Europe, de la baisse des échanges avec les pays d</w:t>
      </w:r>
      <w:r w:rsidR="005C202F">
        <w:rPr>
          <w:rFonts w:ascii="Segoe UI" w:hAnsi="Segoe UI" w:cs="Segoe UI"/>
          <w:noProof/>
          <w:color w:val="000091" w:themeColor="text1"/>
          <w:sz w:val="20"/>
          <w:szCs w:val="20"/>
          <w:lang w:val="es-419" w:eastAsia="fr-FR"/>
        </w:rPr>
        <w:t>e la</w:t>
      </w:r>
      <w:r w:rsidR="00772190" w:rsidRPr="00830648">
        <w:rPr>
          <w:rFonts w:ascii="Segoe UI" w:hAnsi="Segoe UI" w:cs="Segoe UI"/>
          <w:noProof/>
          <w:color w:val="000091" w:themeColor="text1"/>
          <w:sz w:val="20"/>
          <w:szCs w:val="20"/>
          <w:lang w:val="es-419" w:eastAsia="fr-FR"/>
        </w:rPr>
        <w:t xml:space="preserve"> CEI et de la diminution des prix de certains produits</w:t>
      </w:r>
      <w:r w:rsidR="00772190" w:rsidRPr="00830648">
        <w:rPr>
          <w:rFonts w:ascii="Segoe UI" w:hAnsi="Segoe UI" w:cs="Segoe UI"/>
          <w:sz w:val="20"/>
          <w:szCs w:val="20"/>
        </w:rPr>
        <w:t xml:space="preserve">. </w:t>
      </w:r>
      <w:r w:rsidR="002F0A4B" w:rsidRPr="00466B78">
        <w:rPr>
          <w:rFonts w:ascii="Segoe UI" w:hAnsi="Segoe UI" w:cs="Segoe UI"/>
          <w:noProof/>
          <w:color w:val="000091" w:themeColor="text1"/>
          <w:sz w:val="20"/>
          <w:szCs w:val="20"/>
          <w:lang w:val="es-419" w:eastAsia="fr-FR"/>
        </w:rPr>
        <w:t>Le déficit commercial s’est nettement réduit, principalement en raison d’une baisse des importations, notamment dans les secteurs des machines, des véhicules de transport et des produits minéraux. Du côté des exportations, la filière bois a repris la première place, dépassant les équipements électriques et électroniques.</w:t>
      </w:r>
    </w:p>
    <w:p w14:paraId="3170621A" w14:textId="537B3071" w:rsidR="00DD190F" w:rsidRPr="00E71EA6" w:rsidRDefault="00C746E5">
      <w:pPr>
        <w:spacing w:after="120"/>
        <w:ind w:left="-284"/>
        <w:jc w:val="both"/>
        <w:rPr>
          <w:rStyle w:val="Lienhypertexte"/>
          <w:rFonts w:ascii="Segoe UI" w:eastAsiaTheme="minorHAnsi" w:hAnsi="Segoe UI" w:cs="Segoe UI"/>
          <w:b/>
          <w:color w:val="000091" w:themeColor="text1"/>
          <w:sz w:val="22"/>
          <w:szCs w:val="20"/>
          <w:u w:val="none"/>
          <w:lang w:eastAsia="en-US"/>
        </w:rPr>
      </w:pPr>
      <w:r>
        <w:rPr>
          <w:rFonts w:ascii="Segoe UI" w:hAnsi="Segoe UI" w:cs="Segoe UI"/>
          <w:b/>
          <w:color w:val="000091" w:themeColor="text1"/>
          <w:szCs w:val="20"/>
        </w:rPr>
        <w:t xml:space="preserve">Une réduction du déficit commercial accompagnée </w:t>
      </w:r>
      <w:r w:rsidR="00DE368C">
        <w:rPr>
          <w:rFonts w:ascii="Segoe UI" w:hAnsi="Segoe UI" w:cs="Segoe UI"/>
          <w:b/>
          <w:color w:val="000091" w:themeColor="text1"/>
          <w:szCs w:val="20"/>
        </w:rPr>
        <w:t>d'</w:t>
      </w:r>
      <w:r>
        <w:rPr>
          <w:rFonts w:ascii="Segoe UI" w:hAnsi="Segoe UI" w:cs="Segoe UI"/>
          <w:b/>
          <w:color w:val="000091" w:themeColor="text1"/>
          <w:szCs w:val="20"/>
        </w:rPr>
        <w:t xml:space="preserve">une </w:t>
      </w:r>
      <w:r w:rsidR="00DE368C">
        <w:rPr>
          <w:rFonts w:ascii="Segoe UI" w:hAnsi="Segoe UI" w:cs="Segoe UI"/>
          <w:b/>
          <w:color w:val="000091" w:themeColor="text1"/>
          <w:szCs w:val="20"/>
        </w:rPr>
        <w:t>augmentation</w:t>
      </w:r>
      <w:r>
        <w:rPr>
          <w:rFonts w:ascii="Segoe UI" w:hAnsi="Segoe UI" w:cs="Segoe UI"/>
          <w:b/>
          <w:color w:val="000091" w:themeColor="text1"/>
          <w:szCs w:val="20"/>
        </w:rPr>
        <w:t xml:space="preserve"> </w:t>
      </w:r>
      <w:r w:rsidR="00DE368C">
        <w:rPr>
          <w:rFonts w:ascii="Segoe UI" w:hAnsi="Segoe UI" w:cs="Segoe UI"/>
          <w:b/>
          <w:color w:val="000091" w:themeColor="text1"/>
          <w:szCs w:val="20"/>
        </w:rPr>
        <w:t xml:space="preserve">du volume </w:t>
      </w:r>
      <w:r>
        <w:rPr>
          <w:rFonts w:ascii="Segoe UI" w:hAnsi="Segoe UI" w:cs="Segoe UI"/>
          <w:b/>
          <w:color w:val="000091" w:themeColor="text1"/>
          <w:szCs w:val="20"/>
        </w:rPr>
        <w:t>des échanges commerciaux</w:t>
      </w:r>
    </w:p>
    <w:p w14:paraId="0F803136" w14:textId="2BD7F8BF" w:rsidR="001625DE" w:rsidRDefault="005F41EC" w:rsidP="00592748">
      <w:pPr>
        <w:spacing w:after="120"/>
        <w:ind w:left="-284"/>
        <w:jc w:val="both"/>
        <w:rPr>
          <w:rStyle w:val="Lienhypertexte"/>
          <w:rFonts w:ascii="Segoe UI" w:hAnsi="Segoe UI" w:cs="Segoe UI"/>
          <w:noProof/>
          <w:color w:val="auto"/>
          <w:sz w:val="20"/>
          <w:szCs w:val="20"/>
          <w:u w:val="none"/>
          <w:lang w:val="es-419"/>
        </w:rPr>
      </w:pPr>
      <w:r>
        <w:rPr>
          <w:rStyle w:val="Lienhypertexte"/>
          <w:rFonts w:ascii="Segoe UI" w:eastAsiaTheme="minorHAnsi" w:hAnsi="Segoe UI" w:cs="Segoe UI"/>
          <w:b/>
          <w:bCs/>
          <w:noProof/>
          <w:color w:val="auto"/>
          <w:sz w:val="20"/>
          <w:szCs w:val="20"/>
          <w:u w:val="none"/>
          <w:lang w:val="es-419" w:eastAsia="en-US"/>
        </w:rPr>
        <w:t>En 2024,</w:t>
      </w:r>
      <w:r w:rsidR="00DD190F" w:rsidRPr="00DE368C">
        <w:rPr>
          <w:rStyle w:val="Lienhypertexte"/>
          <w:rFonts w:ascii="Segoe UI" w:eastAsiaTheme="minorHAnsi" w:hAnsi="Segoe UI" w:cs="Segoe UI"/>
          <w:b/>
          <w:bCs/>
          <w:noProof/>
          <w:color w:val="auto"/>
          <w:sz w:val="20"/>
          <w:szCs w:val="20"/>
          <w:u w:val="none"/>
          <w:lang w:val="es-419" w:eastAsia="en-US"/>
        </w:rPr>
        <w:t xml:space="preserve"> le </w:t>
      </w:r>
      <w:r w:rsidR="000E0454">
        <w:rPr>
          <w:rStyle w:val="Lienhypertexte"/>
          <w:rFonts w:ascii="Segoe UI" w:eastAsiaTheme="minorHAnsi" w:hAnsi="Segoe UI" w:cs="Segoe UI"/>
          <w:b/>
          <w:bCs/>
          <w:noProof/>
          <w:color w:val="auto"/>
          <w:sz w:val="20"/>
          <w:szCs w:val="20"/>
          <w:u w:val="none"/>
          <w:lang w:val="es-419" w:eastAsia="en-US"/>
        </w:rPr>
        <w:t>commerce extérieur</w:t>
      </w:r>
      <w:r w:rsidR="00DD190F" w:rsidRPr="00DE368C">
        <w:rPr>
          <w:rStyle w:val="Lienhypertexte"/>
          <w:rFonts w:ascii="Segoe UI" w:eastAsiaTheme="minorHAnsi" w:hAnsi="Segoe UI" w:cs="Segoe UI"/>
          <w:b/>
          <w:bCs/>
          <w:noProof/>
          <w:color w:val="auto"/>
          <w:sz w:val="20"/>
          <w:szCs w:val="20"/>
          <w:u w:val="none"/>
          <w:lang w:val="es-419" w:eastAsia="en-US"/>
        </w:rPr>
        <w:t xml:space="preserve"> a diminué de 4,9 %</w:t>
      </w:r>
      <w:r w:rsidR="000E0454">
        <w:rPr>
          <w:rStyle w:val="Lienhypertexte"/>
          <w:rFonts w:ascii="Segoe UI" w:eastAsiaTheme="minorHAnsi" w:hAnsi="Segoe UI" w:cs="Segoe UI"/>
          <w:b/>
          <w:bCs/>
          <w:noProof/>
          <w:color w:val="auto"/>
          <w:sz w:val="20"/>
          <w:szCs w:val="20"/>
          <w:u w:val="none"/>
          <w:lang w:val="es-419" w:eastAsia="en-US"/>
        </w:rPr>
        <w:t xml:space="preserve"> en valeur</w:t>
      </w:r>
      <w:r w:rsidR="00DD190F" w:rsidRPr="00DE368C">
        <w:rPr>
          <w:rStyle w:val="Lienhypertexte"/>
          <w:rFonts w:ascii="Segoe UI" w:eastAsiaTheme="minorHAnsi" w:hAnsi="Segoe UI" w:cs="Segoe UI"/>
          <w:b/>
          <w:bCs/>
          <w:noProof/>
          <w:color w:val="auto"/>
          <w:sz w:val="20"/>
          <w:szCs w:val="20"/>
          <w:u w:val="none"/>
          <w:lang w:val="es-419" w:eastAsia="en-US"/>
        </w:rPr>
        <w:t xml:space="preserve">, </w:t>
      </w:r>
      <w:r w:rsidR="00632119" w:rsidRPr="00DE368C">
        <w:rPr>
          <w:rStyle w:val="Lienhypertexte"/>
          <w:rFonts w:ascii="Segoe UI" w:hAnsi="Segoe UI" w:cs="Segoe UI"/>
          <w:b/>
          <w:bCs/>
          <w:noProof/>
          <w:color w:val="auto"/>
          <w:sz w:val="20"/>
          <w:szCs w:val="20"/>
          <w:u w:val="none"/>
          <w:lang w:val="es-419"/>
        </w:rPr>
        <w:t>s’établissant à</w:t>
      </w:r>
      <w:r w:rsidR="00DD190F" w:rsidRPr="00DE368C">
        <w:rPr>
          <w:rStyle w:val="Lienhypertexte"/>
          <w:rFonts w:ascii="Segoe UI" w:eastAsiaTheme="minorHAnsi" w:hAnsi="Segoe UI" w:cs="Segoe UI"/>
          <w:b/>
          <w:bCs/>
          <w:noProof/>
          <w:color w:val="auto"/>
          <w:sz w:val="20"/>
          <w:szCs w:val="20"/>
          <w:u w:val="none"/>
          <w:lang w:val="es-419" w:eastAsia="en-US"/>
        </w:rPr>
        <w:t xml:space="preserve"> 40,</w:t>
      </w:r>
      <w:r w:rsidR="009F3799" w:rsidRPr="00DE368C">
        <w:rPr>
          <w:rStyle w:val="Lienhypertexte"/>
          <w:rFonts w:ascii="Segoe UI" w:hAnsi="Segoe UI" w:cs="Segoe UI"/>
          <w:b/>
          <w:bCs/>
          <w:noProof/>
          <w:color w:val="auto"/>
          <w:sz w:val="20"/>
          <w:szCs w:val="20"/>
          <w:u w:val="none"/>
          <w:lang w:val="es-419"/>
        </w:rPr>
        <w:t>4</w:t>
      </w:r>
      <w:r w:rsidR="00DD190F" w:rsidRPr="00DE368C">
        <w:rPr>
          <w:rStyle w:val="Lienhypertexte"/>
          <w:rFonts w:ascii="Segoe UI" w:eastAsiaTheme="minorHAnsi" w:hAnsi="Segoe UI" w:cs="Segoe UI"/>
          <w:b/>
          <w:bCs/>
          <w:noProof/>
          <w:color w:val="auto"/>
          <w:sz w:val="20"/>
          <w:szCs w:val="20"/>
          <w:u w:val="none"/>
          <w:lang w:val="es-419" w:eastAsia="en-US"/>
        </w:rPr>
        <w:t xml:space="preserve"> Mds EUR. </w:t>
      </w:r>
      <w:r w:rsidR="00DD190F" w:rsidRPr="00023393">
        <w:rPr>
          <w:rStyle w:val="Lienhypertexte"/>
          <w:rFonts w:ascii="Segoe UI" w:eastAsiaTheme="minorHAnsi" w:hAnsi="Segoe UI" w:cs="Segoe UI"/>
          <w:noProof/>
          <w:color w:val="auto"/>
          <w:sz w:val="20"/>
          <w:szCs w:val="20"/>
          <w:u w:val="none"/>
          <w:lang w:val="es-419" w:eastAsia="en-US"/>
        </w:rPr>
        <w:t xml:space="preserve">Cette baisse </w:t>
      </w:r>
      <w:r w:rsidR="00632119" w:rsidRPr="00023393">
        <w:rPr>
          <w:rStyle w:val="Lienhypertexte"/>
          <w:rFonts w:ascii="Segoe UI" w:hAnsi="Segoe UI" w:cs="Segoe UI"/>
          <w:noProof/>
          <w:color w:val="auto"/>
          <w:sz w:val="20"/>
          <w:szCs w:val="20"/>
          <w:u w:val="none"/>
          <w:lang w:val="es-419"/>
        </w:rPr>
        <w:t>résulte</w:t>
      </w:r>
      <w:r w:rsidR="00DD190F" w:rsidRPr="00023393">
        <w:rPr>
          <w:rStyle w:val="Lienhypertexte"/>
          <w:rFonts w:ascii="Segoe UI" w:eastAsiaTheme="minorHAnsi" w:hAnsi="Segoe UI" w:cs="Segoe UI"/>
          <w:noProof/>
          <w:color w:val="auto"/>
          <w:sz w:val="20"/>
          <w:szCs w:val="20"/>
          <w:u w:val="none"/>
          <w:lang w:val="es-419" w:eastAsia="en-US"/>
        </w:rPr>
        <w:t xml:space="preserve"> </w:t>
      </w:r>
      <w:r w:rsidR="00632119" w:rsidRPr="00023393">
        <w:rPr>
          <w:rStyle w:val="Lienhypertexte"/>
          <w:rFonts w:ascii="Segoe UI" w:hAnsi="Segoe UI" w:cs="Segoe UI"/>
          <w:noProof/>
          <w:color w:val="auto"/>
          <w:sz w:val="20"/>
          <w:szCs w:val="20"/>
          <w:u w:val="none"/>
          <w:lang w:val="es-419"/>
        </w:rPr>
        <w:t>d’</w:t>
      </w:r>
      <w:r w:rsidR="00DD190F" w:rsidRPr="00023393">
        <w:rPr>
          <w:rStyle w:val="Lienhypertexte"/>
          <w:rFonts w:ascii="Segoe UI" w:eastAsiaTheme="minorHAnsi" w:hAnsi="Segoe UI" w:cs="Segoe UI"/>
          <w:noProof/>
          <w:color w:val="auto"/>
          <w:sz w:val="20"/>
          <w:szCs w:val="20"/>
          <w:u w:val="none"/>
          <w:lang w:val="es-419" w:eastAsia="en-US"/>
        </w:rPr>
        <w:t xml:space="preserve">un </w:t>
      </w:r>
      <w:r w:rsidR="00DD190F" w:rsidRPr="00E73CA3">
        <w:rPr>
          <w:rStyle w:val="Lienhypertexte"/>
          <w:rFonts w:ascii="Segoe UI" w:eastAsiaTheme="minorHAnsi" w:hAnsi="Segoe UI" w:cs="Segoe UI"/>
          <w:color w:val="auto"/>
          <w:sz w:val="20"/>
          <w:szCs w:val="20"/>
          <w:u w:val="none"/>
          <w:lang w:eastAsia="en-US"/>
        </w:rPr>
        <w:t xml:space="preserve">repli de 1,9 % </w:t>
      </w:r>
      <w:r w:rsidR="004F386A" w:rsidRPr="00E73CA3">
        <w:rPr>
          <w:rStyle w:val="Lienhypertexte"/>
          <w:rFonts w:ascii="Segoe UI" w:hAnsi="Segoe UI" w:cs="Segoe UI"/>
          <w:color w:val="auto"/>
          <w:sz w:val="20"/>
          <w:szCs w:val="20"/>
          <w:u w:val="none"/>
        </w:rPr>
        <w:t>des</w:t>
      </w:r>
      <w:r w:rsidR="00DD190F" w:rsidRPr="00E73CA3">
        <w:rPr>
          <w:rStyle w:val="Lienhypertexte"/>
          <w:rFonts w:ascii="Segoe UI" w:eastAsiaTheme="minorHAnsi" w:hAnsi="Segoe UI" w:cs="Segoe UI"/>
          <w:color w:val="auto"/>
          <w:sz w:val="20"/>
          <w:szCs w:val="20"/>
          <w:u w:val="none"/>
          <w:lang w:eastAsia="en-US"/>
        </w:rPr>
        <w:t xml:space="preserve"> exportations </w:t>
      </w:r>
      <w:r w:rsidR="00DD190F" w:rsidRPr="00023393">
        <w:rPr>
          <w:rStyle w:val="Lienhypertexte"/>
          <w:rFonts w:ascii="Segoe UI" w:eastAsiaTheme="minorHAnsi" w:hAnsi="Segoe UI" w:cs="Segoe UI"/>
          <w:noProof/>
          <w:color w:val="auto"/>
          <w:sz w:val="20"/>
          <w:szCs w:val="20"/>
          <w:u w:val="none"/>
          <w:lang w:val="es-419" w:eastAsia="en-US"/>
        </w:rPr>
        <w:t xml:space="preserve">et </w:t>
      </w:r>
      <w:r w:rsidR="004F386A">
        <w:rPr>
          <w:rStyle w:val="Lienhypertexte"/>
          <w:rFonts w:ascii="Segoe UI" w:hAnsi="Segoe UI" w:cs="Segoe UI"/>
          <w:noProof/>
          <w:color w:val="auto"/>
          <w:sz w:val="20"/>
          <w:szCs w:val="20"/>
          <w:u w:val="none"/>
          <w:lang w:val="es-419"/>
        </w:rPr>
        <w:t>d’</w:t>
      </w:r>
      <w:r w:rsidR="00DD190F" w:rsidRPr="00023393">
        <w:rPr>
          <w:rStyle w:val="Lienhypertexte"/>
          <w:rFonts w:ascii="Segoe UI" w:eastAsiaTheme="minorHAnsi" w:hAnsi="Segoe UI" w:cs="Segoe UI"/>
          <w:noProof/>
          <w:color w:val="auto"/>
          <w:sz w:val="20"/>
          <w:szCs w:val="20"/>
          <w:u w:val="none"/>
          <w:lang w:val="es-419" w:eastAsia="en-US"/>
        </w:rPr>
        <w:t xml:space="preserve">une </w:t>
      </w:r>
      <w:r w:rsidR="00632119" w:rsidRPr="00023393">
        <w:rPr>
          <w:rStyle w:val="Lienhypertexte"/>
          <w:rFonts w:ascii="Segoe UI" w:hAnsi="Segoe UI" w:cs="Segoe UI"/>
          <w:noProof/>
          <w:color w:val="auto"/>
          <w:sz w:val="20"/>
          <w:szCs w:val="20"/>
          <w:u w:val="none"/>
          <w:lang w:val="es-419"/>
        </w:rPr>
        <w:t>contraction</w:t>
      </w:r>
      <w:r w:rsidR="00DD190F" w:rsidRPr="00023393">
        <w:rPr>
          <w:rStyle w:val="Lienhypertexte"/>
          <w:rFonts w:ascii="Segoe UI" w:eastAsiaTheme="minorHAnsi" w:hAnsi="Segoe UI" w:cs="Segoe UI"/>
          <w:noProof/>
          <w:color w:val="auto"/>
          <w:sz w:val="20"/>
          <w:szCs w:val="20"/>
          <w:u w:val="none"/>
          <w:lang w:val="es-419" w:eastAsia="en-US"/>
        </w:rPr>
        <w:t xml:space="preserve"> plus marquée de</w:t>
      </w:r>
      <w:r w:rsidR="004F386A">
        <w:rPr>
          <w:rStyle w:val="Lienhypertexte"/>
          <w:rFonts w:ascii="Segoe UI" w:hAnsi="Segoe UI" w:cs="Segoe UI"/>
          <w:noProof/>
          <w:color w:val="auto"/>
          <w:sz w:val="20"/>
          <w:szCs w:val="20"/>
          <w:u w:val="none"/>
          <w:lang w:val="es-419"/>
        </w:rPr>
        <w:t xml:space="preserve"> celle des</w:t>
      </w:r>
      <w:r w:rsidR="00DD190F" w:rsidRPr="00023393">
        <w:rPr>
          <w:rStyle w:val="Lienhypertexte"/>
          <w:rFonts w:ascii="Segoe UI" w:eastAsiaTheme="minorHAnsi" w:hAnsi="Segoe UI" w:cs="Segoe UI"/>
          <w:noProof/>
          <w:color w:val="auto"/>
          <w:sz w:val="20"/>
          <w:szCs w:val="20"/>
          <w:u w:val="none"/>
          <w:lang w:val="es-419" w:eastAsia="en-US"/>
        </w:rPr>
        <w:t xml:space="preserve"> importations</w:t>
      </w:r>
      <w:r w:rsidR="009F3799" w:rsidRPr="00023393">
        <w:rPr>
          <w:rStyle w:val="Lienhypertexte"/>
          <w:rFonts w:ascii="Segoe UI" w:hAnsi="Segoe UI" w:cs="Segoe UI"/>
          <w:noProof/>
          <w:color w:val="auto"/>
          <w:sz w:val="20"/>
          <w:szCs w:val="20"/>
          <w:u w:val="none"/>
          <w:lang w:val="es-419"/>
        </w:rPr>
        <w:t xml:space="preserve"> de </w:t>
      </w:r>
      <w:r w:rsidR="00DD190F" w:rsidRPr="00023393">
        <w:rPr>
          <w:rStyle w:val="Lienhypertexte"/>
          <w:rFonts w:ascii="Segoe UI" w:eastAsiaTheme="minorHAnsi" w:hAnsi="Segoe UI" w:cs="Segoe UI"/>
          <w:noProof/>
          <w:color w:val="auto"/>
          <w:sz w:val="20"/>
          <w:szCs w:val="20"/>
          <w:u w:val="none"/>
          <w:lang w:val="es-419" w:eastAsia="en-US"/>
        </w:rPr>
        <w:t>7,</w:t>
      </w:r>
      <w:r w:rsidR="002F1054">
        <w:rPr>
          <w:rStyle w:val="Lienhypertexte"/>
          <w:rFonts w:ascii="Segoe UI" w:hAnsi="Segoe UI" w:cs="Segoe UI"/>
          <w:noProof/>
          <w:color w:val="auto"/>
          <w:sz w:val="20"/>
          <w:szCs w:val="20"/>
          <w:u w:val="none"/>
          <w:lang w:val="es-419"/>
        </w:rPr>
        <w:t>4</w:t>
      </w:r>
      <w:r w:rsidR="00DD190F" w:rsidRPr="00023393">
        <w:rPr>
          <w:rStyle w:val="Lienhypertexte"/>
          <w:rFonts w:ascii="Segoe UI" w:eastAsiaTheme="minorHAnsi" w:hAnsi="Segoe UI" w:cs="Segoe UI"/>
          <w:noProof/>
          <w:color w:val="auto"/>
          <w:sz w:val="20"/>
          <w:szCs w:val="20"/>
          <w:u w:val="none"/>
          <w:lang w:val="es-419" w:eastAsia="en-US"/>
        </w:rPr>
        <w:t xml:space="preserve"> %.</w:t>
      </w:r>
      <w:r w:rsidR="009F3799" w:rsidRPr="00023393">
        <w:rPr>
          <w:rStyle w:val="Lienhypertexte"/>
          <w:rFonts w:ascii="Segoe UI" w:hAnsi="Segoe UI" w:cs="Segoe UI"/>
          <w:noProof/>
          <w:color w:val="auto"/>
          <w:sz w:val="20"/>
          <w:szCs w:val="20"/>
          <w:u w:val="none"/>
          <w:lang w:val="es-419"/>
        </w:rPr>
        <w:t xml:space="preserve"> </w:t>
      </w:r>
    </w:p>
    <w:p w14:paraId="6C0C438A" w14:textId="6E89F755" w:rsidR="00DE3243" w:rsidRPr="00830648" w:rsidRDefault="000E0454" w:rsidP="00592748">
      <w:pPr>
        <w:spacing w:after="120"/>
        <w:ind w:left="-284"/>
        <w:jc w:val="both"/>
        <w:rPr>
          <w:rStyle w:val="Lienhypertexte"/>
          <w:rFonts w:ascii="Segoe UI" w:eastAsiaTheme="minorHAnsi" w:hAnsi="Segoe UI" w:cs="Segoe UI"/>
          <w:noProof/>
          <w:color w:val="auto"/>
          <w:sz w:val="20"/>
          <w:szCs w:val="20"/>
          <w:u w:val="none"/>
          <w:lang w:val="es-419" w:eastAsia="en-US"/>
        </w:rPr>
      </w:pPr>
      <w:r w:rsidRPr="00830648">
        <w:rPr>
          <w:rStyle w:val="Lienhypertexte"/>
          <w:rFonts w:ascii="Segoe UI" w:eastAsiaTheme="minorHAnsi" w:hAnsi="Segoe UI" w:cs="Segoe UI"/>
          <w:noProof/>
          <w:color w:val="auto"/>
          <w:sz w:val="20"/>
          <w:szCs w:val="20"/>
          <w:u w:val="none"/>
          <w:lang w:val="es-419" w:eastAsia="en-US"/>
        </w:rPr>
        <w:t xml:space="preserve">Ce recul s’explique par un affaiblissement de la demande extérieure. Les principaux partenaires commerciaux du pays, notamment la Lituanie, l’Estonie, l’Allemagne et la Suède, ont connu une croissance atone, limitant </w:t>
      </w:r>
      <w:r>
        <w:rPr>
          <w:rStyle w:val="Lienhypertexte"/>
          <w:rFonts w:ascii="Segoe UI" w:eastAsiaTheme="minorHAnsi" w:hAnsi="Segoe UI" w:cs="Segoe UI"/>
          <w:noProof/>
          <w:color w:val="auto"/>
          <w:sz w:val="20"/>
          <w:szCs w:val="20"/>
          <w:u w:val="none"/>
          <w:lang w:val="es-419" w:eastAsia="en-US"/>
        </w:rPr>
        <w:t>les exportations</w:t>
      </w:r>
      <w:r w:rsidRPr="00830648">
        <w:rPr>
          <w:rStyle w:val="Lienhypertexte"/>
          <w:rFonts w:ascii="Segoe UI" w:eastAsiaTheme="minorHAnsi" w:hAnsi="Segoe UI" w:cs="Segoe UI"/>
          <w:noProof/>
          <w:color w:val="auto"/>
          <w:sz w:val="20"/>
          <w:szCs w:val="20"/>
          <w:u w:val="none"/>
          <w:lang w:val="es-419" w:eastAsia="en-US"/>
        </w:rPr>
        <w:t xml:space="preserve"> de </w:t>
      </w:r>
      <w:r>
        <w:rPr>
          <w:rStyle w:val="Lienhypertexte"/>
          <w:rFonts w:ascii="Segoe UI" w:eastAsiaTheme="minorHAnsi" w:hAnsi="Segoe UI" w:cs="Segoe UI"/>
          <w:noProof/>
          <w:color w:val="auto"/>
          <w:sz w:val="20"/>
          <w:szCs w:val="20"/>
          <w:u w:val="none"/>
          <w:lang w:val="es-419" w:eastAsia="en-US"/>
        </w:rPr>
        <w:t xml:space="preserve">la </w:t>
      </w:r>
      <w:r w:rsidRPr="00830648">
        <w:rPr>
          <w:rStyle w:val="Lienhypertexte"/>
          <w:rFonts w:ascii="Segoe UI" w:eastAsiaTheme="minorHAnsi" w:hAnsi="Segoe UI" w:cs="Segoe UI"/>
          <w:noProof/>
          <w:color w:val="auto"/>
          <w:sz w:val="20"/>
          <w:szCs w:val="20"/>
          <w:u w:val="none"/>
          <w:lang w:val="es-419" w:eastAsia="en-US"/>
        </w:rPr>
        <w:t xml:space="preserve">Lettonie. </w:t>
      </w:r>
      <w:r w:rsidR="001F0CB4" w:rsidRPr="00830648">
        <w:rPr>
          <w:rStyle w:val="Lienhypertexte"/>
          <w:rFonts w:ascii="Segoe UI" w:eastAsiaTheme="minorHAnsi" w:hAnsi="Segoe UI" w:cs="Segoe UI"/>
          <w:noProof/>
          <w:color w:val="auto"/>
          <w:sz w:val="20"/>
          <w:szCs w:val="20"/>
          <w:u w:val="none"/>
          <w:lang w:val="es-419" w:eastAsia="en-US"/>
        </w:rPr>
        <w:t>De plus, les échanges avec les pays de la CEI ont continué de se réduire, en particulier les importations de produits minéraux en provenance de Russie, en baisse de 34,8 %.</w:t>
      </w:r>
      <w:r w:rsidR="00487DC4">
        <w:rPr>
          <w:rStyle w:val="Lienhypertexte"/>
          <w:rFonts w:ascii="Segoe UI" w:eastAsiaTheme="minorHAnsi" w:hAnsi="Segoe UI" w:cs="Segoe UI"/>
          <w:noProof/>
          <w:color w:val="auto"/>
          <w:sz w:val="20"/>
          <w:szCs w:val="20"/>
          <w:u w:val="none"/>
          <w:lang w:val="es-419" w:eastAsia="en-US"/>
        </w:rPr>
        <w:t xml:space="preserve"> </w:t>
      </w:r>
      <w:r w:rsidR="00DE3243" w:rsidRPr="00830648">
        <w:rPr>
          <w:rStyle w:val="Lienhypertexte"/>
          <w:rFonts w:ascii="Segoe UI" w:eastAsiaTheme="minorHAnsi" w:hAnsi="Segoe UI" w:cs="Segoe UI"/>
          <w:noProof/>
          <w:color w:val="auto"/>
          <w:sz w:val="20"/>
          <w:szCs w:val="20"/>
          <w:u w:val="none"/>
          <w:lang w:val="es-419" w:eastAsia="en-US"/>
        </w:rPr>
        <w:t>Les prix des machines et équipements électriques, des véhicules de transport</w:t>
      </w:r>
      <w:r w:rsidR="00DE3243">
        <w:rPr>
          <w:rStyle w:val="Lienhypertexte"/>
          <w:rFonts w:ascii="Segoe UI" w:eastAsiaTheme="minorHAnsi" w:hAnsi="Segoe UI" w:cs="Segoe UI"/>
          <w:noProof/>
          <w:color w:val="auto"/>
          <w:sz w:val="20"/>
          <w:szCs w:val="20"/>
          <w:u w:val="none"/>
          <w:lang w:val="es-419" w:eastAsia="en-US"/>
        </w:rPr>
        <w:t>, des minéraux</w:t>
      </w:r>
      <w:r w:rsidR="00DE3243" w:rsidRPr="00830648">
        <w:rPr>
          <w:rStyle w:val="Lienhypertexte"/>
          <w:rFonts w:ascii="Segoe UI" w:eastAsiaTheme="minorHAnsi" w:hAnsi="Segoe UI" w:cs="Segoe UI"/>
          <w:noProof/>
          <w:color w:val="auto"/>
          <w:sz w:val="20"/>
          <w:szCs w:val="20"/>
          <w:u w:val="none"/>
          <w:lang w:val="es-419" w:eastAsia="en-US"/>
        </w:rPr>
        <w:t xml:space="preserve"> et, dans une moindre mesure, des métaux </w:t>
      </w:r>
      <w:r w:rsidR="00DE3243">
        <w:rPr>
          <w:rStyle w:val="Lienhypertexte"/>
          <w:rFonts w:ascii="Segoe UI" w:eastAsiaTheme="minorHAnsi" w:hAnsi="Segoe UI" w:cs="Segoe UI"/>
          <w:noProof/>
          <w:color w:val="auto"/>
          <w:sz w:val="20"/>
          <w:szCs w:val="20"/>
          <w:u w:val="none"/>
          <w:lang w:val="es-419" w:eastAsia="en-US"/>
        </w:rPr>
        <w:t>ont</w:t>
      </w:r>
      <w:r w:rsidR="00DE3243" w:rsidRPr="00830648">
        <w:rPr>
          <w:rStyle w:val="Lienhypertexte"/>
          <w:rFonts w:ascii="Segoe UI" w:eastAsiaTheme="minorHAnsi" w:hAnsi="Segoe UI" w:cs="Segoe UI"/>
          <w:noProof/>
          <w:color w:val="auto"/>
          <w:sz w:val="20"/>
          <w:szCs w:val="20"/>
          <w:u w:val="none"/>
          <w:lang w:val="es-419" w:eastAsia="en-US"/>
        </w:rPr>
        <w:t xml:space="preserve"> baissé en 2024</w:t>
      </w:r>
      <w:r w:rsidR="00DE3243">
        <w:rPr>
          <w:rStyle w:val="Lienhypertexte"/>
          <w:rFonts w:ascii="Segoe UI" w:eastAsiaTheme="minorHAnsi" w:hAnsi="Segoe UI" w:cs="Segoe UI"/>
          <w:noProof/>
          <w:color w:val="auto"/>
          <w:sz w:val="20"/>
          <w:szCs w:val="20"/>
          <w:u w:val="none"/>
          <w:lang w:val="es-419" w:eastAsia="en-US"/>
        </w:rPr>
        <w:t>.</w:t>
      </w:r>
    </w:p>
    <w:p w14:paraId="6DC6C324" w14:textId="29A602E8" w:rsidR="006322BC" w:rsidRDefault="005F41EC" w:rsidP="00592748">
      <w:pPr>
        <w:spacing w:after="120"/>
        <w:ind w:left="-284"/>
        <w:jc w:val="both"/>
        <w:rPr>
          <w:rStyle w:val="Lienhypertexte"/>
          <w:rFonts w:ascii="Segoe UI" w:eastAsiaTheme="minorHAnsi" w:hAnsi="Segoe UI" w:cs="Segoe UI"/>
          <w:color w:val="auto"/>
          <w:sz w:val="20"/>
          <w:szCs w:val="20"/>
          <w:u w:val="none"/>
          <w:lang w:eastAsia="en-US"/>
        </w:rPr>
      </w:pPr>
      <w:r>
        <w:rPr>
          <w:rStyle w:val="Lienhypertexte"/>
          <w:rFonts w:ascii="Segoe UI" w:eastAsiaTheme="minorHAnsi" w:hAnsi="Segoe UI" w:cs="Segoe UI"/>
          <w:b/>
          <w:bCs/>
          <w:noProof/>
          <w:color w:val="auto"/>
          <w:sz w:val="20"/>
          <w:szCs w:val="20"/>
          <w:u w:val="none"/>
          <w:lang w:val="es-419" w:eastAsia="en-US"/>
        </w:rPr>
        <w:t>Toutefois</w:t>
      </w:r>
      <w:r w:rsidR="001B4BB2" w:rsidRPr="00DE368C">
        <w:rPr>
          <w:rStyle w:val="Lienhypertexte"/>
          <w:rFonts w:ascii="Segoe UI" w:eastAsiaTheme="minorHAnsi" w:hAnsi="Segoe UI" w:cs="Segoe UI"/>
          <w:b/>
          <w:bCs/>
          <w:noProof/>
          <w:color w:val="auto"/>
          <w:sz w:val="20"/>
          <w:szCs w:val="20"/>
          <w:u w:val="none"/>
          <w:lang w:val="es-419" w:eastAsia="en-US"/>
        </w:rPr>
        <w:t>, le volume</w:t>
      </w:r>
      <w:r w:rsidR="001B4BB2">
        <w:rPr>
          <w:rStyle w:val="Lienhypertexte"/>
          <w:rFonts w:ascii="Segoe UI" w:eastAsiaTheme="minorHAnsi" w:hAnsi="Segoe UI" w:cs="Segoe UI"/>
          <w:b/>
          <w:bCs/>
          <w:noProof/>
          <w:color w:val="auto"/>
          <w:sz w:val="20"/>
          <w:szCs w:val="20"/>
          <w:u w:val="none"/>
          <w:lang w:val="es-419" w:eastAsia="en-US"/>
        </w:rPr>
        <w:t xml:space="preserve"> </w:t>
      </w:r>
      <w:r w:rsidR="001B4BB2" w:rsidRPr="00DE368C">
        <w:rPr>
          <w:rStyle w:val="Lienhypertexte"/>
          <w:rFonts w:ascii="Segoe UI" w:eastAsiaTheme="minorHAnsi" w:hAnsi="Segoe UI" w:cs="Segoe UI"/>
          <w:b/>
          <w:bCs/>
          <w:noProof/>
          <w:color w:val="auto"/>
          <w:sz w:val="20"/>
          <w:szCs w:val="20"/>
          <w:u w:val="none"/>
          <w:lang w:val="es-419" w:eastAsia="en-US"/>
        </w:rPr>
        <w:t>des biens échangés</w:t>
      </w:r>
      <w:r w:rsidR="001B4BB2">
        <w:rPr>
          <w:rStyle w:val="Lienhypertexte"/>
          <w:rFonts w:ascii="Segoe UI" w:eastAsiaTheme="minorHAnsi" w:hAnsi="Segoe UI" w:cs="Segoe UI"/>
          <w:b/>
          <w:bCs/>
          <w:noProof/>
          <w:color w:val="auto"/>
          <w:sz w:val="20"/>
          <w:szCs w:val="20"/>
          <w:u w:val="none"/>
          <w:lang w:val="es-419" w:eastAsia="en-US"/>
        </w:rPr>
        <w:t xml:space="preserve"> (exportations + importations)</w:t>
      </w:r>
      <w:r w:rsidR="001B4BB2" w:rsidRPr="00DE368C">
        <w:rPr>
          <w:rStyle w:val="Lienhypertexte"/>
          <w:rFonts w:ascii="Segoe UI" w:eastAsiaTheme="minorHAnsi" w:hAnsi="Segoe UI" w:cs="Segoe UI"/>
          <w:b/>
          <w:bCs/>
          <w:noProof/>
          <w:color w:val="auto"/>
          <w:sz w:val="20"/>
          <w:szCs w:val="20"/>
          <w:u w:val="none"/>
          <w:lang w:val="es-419" w:eastAsia="en-US"/>
        </w:rPr>
        <w:t xml:space="preserve"> a progressé de </w:t>
      </w:r>
      <w:r w:rsidR="001B4BB2" w:rsidRPr="00DE368C">
        <w:rPr>
          <w:rStyle w:val="Lienhypertexte"/>
          <w:rFonts w:ascii="Segoe UI" w:hAnsi="Segoe UI" w:cs="Segoe UI"/>
          <w:b/>
          <w:bCs/>
          <w:noProof/>
          <w:color w:val="auto"/>
          <w:sz w:val="20"/>
          <w:szCs w:val="20"/>
          <w:u w:val="none"/>
          <w:lang w:val="es-419"/>
        </w:rPr>
        <w:t>4,6</w:t>
      </w:r>
      <w:r w:rsidR="001B4BB2" w:rsidRPr="00DE368C">
        <w:rPr>
          <w:rStyle w:val="Lienhypertexte"/>
          <w:rFonts w:ascii="Segoe UI" w:eastAsiaTheme="minorHAnsi" w:hAnsi="Segoe UI" w:cs="Segoe UI"/>
          <w:b/>
          <w:bCs/>
          <w:noProof/>
          <w:color w:val="auto"/>
          <w:sz w:val="20"/>
          <w:szCs w:val="20"/>
          <w:u w:val="none"/>
          <w:lang w:val="es-419" w:eastAsia="en-US"/>
        </w:rPr>
        <w:t xml:space="preserve"> % par rapport à 2023.</w:t>
      </w:r>
      <w:r w:rsidR="001B4BB2" w:rsidRPr="00023393">
        <w:rPr>
          <w:rStyle w:val="Lienhypertexte"/>
          <w:rFonts w:ascii="Segoe UI" w:eastAsiaTheme="minorHAnsi" w:hAnsi="Segoe UI" w:cs="Segoe UI"/>
          <w:noProof/>
          <w:color w:val="auto"/>
          <w:sz w:val="20"/>
          <w:szCs w:val="20"/>
          <w:u w:val="none"/>
          <w:lang w:val="es-419" w:eastAsia="en-US"/>
        </w:rPr>
        <w:t xml:space="preserve"> Cette hausse est principalement portée par une </w:t>
      </w:r>
      <w:r w:rsidR="001B4BB2" w:rsidRPr="00E73CA3">
        <w:rPr>
          <w:rStyle w:val="Lienhypertexte"/>
          <w:rFonts w:ascii="Segoe UI" w:eastAsiaTheme="minorHAnsi" w:hAnsi="Segoe UI" w:cs="Segoe UI"/>
          <w:color w:val="auto"/>
          <w:sz w:val="20"/>
          <w:szCs w:val="20"/>
          <w:u w:val="none"/>
          <w:lang w:eastAsia="en-US"/>
        </w:rPr>
        <w:t>augmentation de 1</w:t>
      </w:r>
      <w:r w:rsidR="001B4BB2" w:rsidRPr="00E73CA3">
        <w:rPr>
          <w:rStyle w:val="Lienhypertexte"/>
          <w:rFonts w:ascii="Segoe UI" w:hAnsi="Segoe UI" w:cs="Segoe UI"/>
          <w:color w:val="auto"/>
          <w:sz w:val="20"/>
          <w:szCs w:val="20"/>
          <w:u w:val="none"/>
        </w:rPr>
        <w:t>1</w:t>
      </w:r>
      <w:r w:rsidR="001B4BB2" w:rsidRPr="00E73CA3">
        <w:rPr>
          <w:rStyle w:val="Lienhypertexte"/>
          <w:rFonts w:ascii="Segoe UI" w:eastAsiaTheme="minorHAnsi" w:hAnsi="Segoe UI" w:cs="Segoe UI"/>
          <w:color w:val="auto"/>
          <w:sz w:val="20"/>
          <w:szCs w:val="20"/>
          <w:u w:val="none"/>
          <w:lang w:eastAsia="en-US"/>
        </w:rPr>
        <w:t>,</w:t>
      </w:r>
      <w:r w:rsidR="001B4BB2" w:rsidRPr="00E73CA3">
        <w:rPr>
          <w:rStyle w:val="Lienhypertexte"/>
          <w:rFonts w:ascii="Segoe UI" w:hAnsi="Segoe UI" w:cs="Segoe UI"/>
          <w:color w:val="auto"/>
          <w:sz w:val="20"/>
          <w:szCs w:val="20"/>
          <w:u w:val="none"/>
        </w:rPr>
        <w:t>2</w:t>
      </w:r>
      <w:r w:rsidR="001B4BB2" w:rsidRPr="00E73CA3">
        <w:rPr>
          <w:rStyle w:val="Lienhypertexte"/>
          <w:rFonts w:ascii="Segoe UI" w:eastAsiaTheme="minorHAnsi" w:hAnsi="Segoe UI" w:cs="Segoe UI"/>
          <w:color w:val="auto"/>
          <w:sz w:val="20"/>
          <w:szCs w:val="20"/>
          <w:u w:val="none"/>
          <w:lang w:eastAsia="en-US"/>
        </w:rPr>
        <w:t xml:space="preserve"> % des exportations en volume</w:t>
      </w:r>
      <w:r w:rsidR="00772190">
        <w:rPr>
          <w:rStyle w:val="Lienhypertexte"/>
          <w:rFonts w:ascii="Segoe UI" w:eastAsiaTheme="minorHAnsi" w:hAnsi="Segoe UI" w:cs="Segoe UI"/>
          <w:color w:val="auto"/>
          <w:sz w:val="20"/>
          <w:szCs w:val="20"/>
          <w:u w:val="none"/>
          <w:lang w:eastAsia="en-US"/>
        </w:rPr>
        <w:t>, notamment du bois</w:t>
      </w:r>
      <w:r w:rsidR="001B4BB2" w:rsidRPr="004F386A">
        <w:rPr>
          <w:rStyle w:val="Lienhypertexte"/>
          <w:rFonts w:ascii="Segoe UI" w:eastAsiaTheme="minorHAnsi" w:hAnsi="Segoe UI" w:cs="Segoe UI"/>
          <w:noProof/>
          <w:color w:val="auto"/>
          <w:sz w:val="20"/>
          <w:szCs w:val="20"/>
          <w:u w:val="none"/>
          <w:lang w:val="es-419" w:eastAsia="en-US"/>
        </w:rPr>
        <w:t xml:space="preserve">, tandis que </w:t>
      </w:r>
      <w:r w:rsidR="001B4BB2" w:rsidRPr="00E73CA3">
        <w:rPr>
          <w:rStyle w:val="Lienhypertexte"/>
          <w:rFonts w:ascii="Segoe UI" w:eastAsiaTheme="minorHAnsi" w:hAnsi="Segoe UI" w:cs="Segoe UI"/>
          <w:color w:val="auto"/>
          <w:sz w:val="20"/>
          <w:szCs w:val="20"/>
          <w:u w:val="none"/>
          <w:lang w:eastAsia="en-US"/>
        </w:rPr>
        <w:t xml:space="preserve">les importations ont légèrement reculé de </w:t>
      </w:r>
      <w:r w:rsidR="001B4BB2" w:rsidRPr="00E73CA3">
        <w:rPr>
          <w:rStyle w:val="Lienhypertexte"/>
          <w:rFonts w:ascii="Segoe UI" w:hAnsi="Segoe UI" w:cs="Segoe UI"/>
          <w:color w:val="auto"/>
          <w:sz w:val="20"/>
          <w:szCs w:val="20"/>
          <w:u w:val="none"/>
        </w:rPr>
        <w:t xml:space="preserve">5,5 </w:t>
      </w:r>
      <w:r w:rsidR="001B4BB2" w:rsidRPr="00E73CA3">
        <w:rPr>
          <w:rStyle w:val="Lienhypertexte"/>
          <w:rFonts w:ascii="Segoe UI" w:eastAsiaTheme="minorHAnsi" w:hAnsi="Segoe UI" w:cs="Segoe UI"/>
          <w:color w:val="auto"/>
          <w:sz w:val="20"/>
          <w:szCs w:val="20"/>
          <w:u w:val="none"/>
          <w:lang w:eastAsia="en-US"/>
        </w:rPr>
        <w:t>%.</w:t>
      </w:r>
    </w:p>
    <w:p w14:paraId="52504B4A" w14:textId="34F08BE2" w:rsidR="00350038" w:rsidRPr="00023393" w:rsidRDefault="00DD190F" w:rsidP="00592748">
      <w:pPr>
        <w:spacing w:after="120"/>
        <w:ind w:left="-284"/>
        <w:jc w:val="both"/>
        <w:rPr>
          <w:rStyle w:val="Lienhypertexte"/>
          <w:rFonts w:ascii="Segoe UI" w:hAnsi="Segoe UI" w:cs="Segoe UI"/>
          <w:noProof/>
          <w:color w:val="auto"/>
          <w:sz w:val="20"/>
          <w:szCs w:val="20"/>
          <w:u w:val="none"/>
          <w:lang w:val="es-419"/>
        </w:rPr>
      </w:pPr>
      <w:r w:rsidRPr="00023393">
        <w:rPr>
          <w:rStyle w:val="Lienhypertexte"/>
          <w:rFonts w:ascii="Segoe UI" w:eastAsiaTheme="minorHAnsi" w:hAnsi="Segoe UI" w:cs="Segoe UI"/>
          <w:noProof/>
          <w:color w:val="auto"/>
          <w:sz w:val="20"/>
          <w:szCs w:val="20"/>
          <w:u w:val="none"/>
          <w:lang w:val="es-419" w:eastAsia="en-US"/>
        </w:rPr>
        <w:t xml:space="preserve">Dans ce contexte, </w:t>
      </w:r>
      <w:r w:rsidRPr="004F386A">
        <w:rPr>
          <w:rStyle w:val="Lienhypertexte"/>
          <w:rFonts w:ascii="Segoe UI" w:eastAsiaTheme="minorHAnsi" w:hAnsi="Segoe UI" w:cs="Segoe UI"/>
          <w:b/>
          <w:bCs/>
          <w:noProof/>
          <w:color w:val="auto"/>
          <w:sz w:val="20"/>
          <w:szCs w:val="20"/>
          <w:u w:val="none"/>
          <w:lang w:val="es-419" w:eastAsia="en-US"/>
        </w:rPr>
        <w:t xml:space="preserve">le déficit commercial </w:t>
      </w:r>
      <w:r w:rsidR="00632119" w:rsidRPr="004F386A">
        <w:rPr>
          <w:rStyle w:val="Lienhypertexte"/>
          <w:rFonts w:ascii="Segoe UI" w:hAnsi="Segoe UI" w:cs="Segoe UI"/>
          <w:b/>
          <w:bCs/>
          <w:noProof/>
          <w:color w:val="auto"/>
          <w:sz w:val="20"/>
          <w:szCs w:val="20"/>
          <w:u w:val="none"/>
          <w:lang w:val="es-419"/>
        </w:rPr>
        <w:t>s'est nettement réduit</w:t>
      </w:r>
      <w:r w:rsidRPr="004F386A">
        <w:rPr>
          <w:rStyle w:val="Lienhypertexte"/>
          <w:rFonts w:ascii="Segoe UI" w:eastAsiaTheme="minorHAnsi" w:hAnsi="Segoe UI" w:cs="Segoe UI"/>
          <w:b/>
          <w:bCs/>
          <w:noProof/>
          <w:color w:val="auto"/>
          <w:sz w:val="20"/>
          <w:szCs w:val="20"/>
          <w:u w:val="none"/>
          <w:lang w:val="es-419" w:eastAsia="en-US"/>
        </w:rPr>
        <w:t>, passant de 4,</w:t>
      </w:r>
      <w:r w:rsidR="00350038" w:rsidRPr="004F386A">
        <w:rPr>
          <w:rStyle w:val="Lienhypertexte"/>
          <w:rFonts w:ascii="Segoe UI" w:hAnsi="Segoe UI" w:cs="Segoe UI"/>
          <w:b/>
          <w:bCs/>
          <w:noProof/>
          <w:color w:val="auto"/>
          <w:sz w:val="20"/>
          <w:szCs w:val="20"/>
          <w:u w:val="none"/>
          <w:lang w:val="es-419"/>
        </w:rPr>
        <w:t>4</w:t>
      </w:r>
      <w:r w:rsidRPr="004F386A">
        <w:rPr>
          <w:rStyle w:val="Lienhypertexte"/>
          <w:rFonts w:ascii="Segoe UI" w:eastAsiaTheme="minorHAnsi" w:hAnsi="Segoe UI" w:cs="Segoe UI"/>
          <w:b/>
          <w:bCs/>
          <w:noProof/>
          <w:color w:val="auto"/>
          <w:sz w:val="20"/>
          <w:szCs w:val="20"/>
          <w:u w:val="none"/>
          <w:lang w:val="es-419" w:eastAsia="en-US"/>
        </w:rPr>
        <w:t xml:space="preserve"> Mds EUR en 2023 à 3,0 Mds EUR en 2024, soit une diminution de 31,</w:t>
      </w:r>
      <w:r w:rsidR="002F1054">
        <w:rPr>
          <w:rStyle w:val="Lienhypertexte"/>
          <w:rFonts w:ascii="Segoe UI" w:hAnsi="Segoe UI" w:cs="Segoe UI"/>
          <w:b/>
          <w:bCs/>
          <w:noProof/>
          <w:color w:val="auto"/>
          <w:sz w:val="20"/>
          <w:szCs w:val="20"/>
          <w:u w:val="none"/>
          <w:lang w:val="es-419"/>
        </w:rPr>
        <w:t>2</w:t>
      </w:r>
      <w:r w:rsidRPr="004F386A">
        <w:rPr>
          <w:rStyle w:val="Lienhypertexte"/>
          <w:rFonts w:ascii="Segoe UI" w:eastAsiaTheme="minorHAnsi" w:hAnsi="Segoe UI" w:cs="Segoe UI"/>
          <w:b/>
          <w:bCs/>
          <w:noProof/>
          <w:color w:val="auto"/>
          <w:sz w:val="20"/>
          <w:szCs w:val="20"/>
          <w:u w:val="none"/>
          <w:lang w:val="es-419" w:eastAsia="en-US"/>
        </w:rPr>
        <w:t xml:space="preserve"> %.</w:t>
      </w:r>
      <w:r w:rsidRPr="00023393">
        <w:rPr>
          <w:rStyle w:val="Lienhypertexte"/>
          <w:rFonts w:ascii="Segoe UI" w:hAnsi="Segoe UI" w:cs="Segoe UI"/>
          <w:noProof/>
          <w:color w:val="auto"/>
          <w:sz w:val="20"/>
          <w:szCs w:val="20"/>
          <w:u w:val="none"/>
          <w:lang w:val="es-419"/>
        </w:rPr>
        <w:t xml:space="preserve"> </w:t>
      </w:r>
    </w:p>
    <w:p w14:paraId="572F2DED" w14:textId="0CE89A1B" w:rsidR="00E73CA3" w:rsidRDefault="00DD190F" w:rsidP="00592748">
      <w:pPr>
        <w:spacing w:after="120"/>
        <w:ind w:left="-284"/>
        <w:jc w:val="both"/>
        <w:rPr>
          <w:rStyle w:val="Lienhypertexte"/>
          <w:rFonts w:ascii="Segoe UI" w:hAnsi="Segoe UI" w:cs="Segoe UI"/>
          <w:noProof/>
          <w:color w:val="auto"/>
          <w:sz w:val="20"/>
          <w:szCs w:val="20"/>
          <w:u w:val="none"/>
          <w:lang w:val="es-419"/>
        </w:rPr>
      </w:pPr>
      <w:r w:rsidRPr="00023393">
        <w:rPr>
          <w:rStyle w:val="Lienhypertexte"/>
          <w:rFonts w:ascii="Segoe UI" w:eastAsiaTheme="minorHAnsi" w:hAnsi="Segoe UI" w:cs="Segoe UI"/>
          <w:noProof/>
          <w:color w:val="auto"/>
          <w:sz w:val="20"/>
          <w:szCs w:val="20"/>
          <w:u w:val="none"/>
          <w:lang w:val="es-419" w:eastAsia="en-US"/>
        </w:rPr>
        <w:t>En ce qui concerne les partenaires commerciaux,</w:t>
      </w:r>
      <w:r w:rsidR="00350038" w:rsidRPr="00023393">
        <w:rPr>
          <w:rStyle w:val="Lienhypertexte"/>
          <w:rFonts w:ascii="Segoe UI" w:hAnsi="Segoe UI" w:cs="Segoe UI"/>
          <w:noProof/>
          <w:color w:val="auto"/>
          <w:sz w:val="20"/>
          <w:szCs w:val="20"/>
          <w:u w:val="none"/>
          <w:lang w:val="es-419"/>
        </w:rPr>
        <w:t xml:space="preserve"> en 2024, la Lettonie a exporté des marchandises vers 203 pays</w:t>
      </w:r>
      <w:r w:rsidR="00DA3FC6" w:rsidRPr="00023393">
        <w:rPr>
          <w:rStyle w:val="Lienhypertexte"/>
          <w:rFonts w:ascii="Segoe UI" w:hAnsi="Segoe UI" w:cs="Segoe UI"/>
          <w:noProof/>
          <w:color w:val="auto"/>
          <w:sz w:val="20"/>
          <w:szCs w:val="20"/>
          <w:u w:val="none"/>
          <w:lang w:val="es-419"/>
        </w:rPr>
        <w:t xml:space="preserve"> (201 en 2023)</w:t>
      </w:r>
      <w:r w:rsidR="00350038" w:rsidRPr="00023393">
        <w:rPr>
          <w:rStyle w:val="Lienhypertexte"/>
          <w:rFonts w:ascii="Segoe UI" w:hAnsi="Segoe UI" w:cs="Segoe UI"/>
          <w:noProof/>
          <w:color w:val="auto"/>
          <w:sz w:val="20"/>
          <w:szCs w:val="20"/>
          <w:u w:val="none"/>
          <w:lang w:val="es-419"/>
        </w:rPr>
        <w:t xml:space="preserve">, </w:t>
      </w:r>
      <w:r w:rsidR="00632119" w:rsidRPr="00023393">
        <w:rPr>
          <w:rStyle w:val="Lienhypertexte"/>
          <w:rFonts w:ascii="Segoe UI" w:hAnsi="Segoe UI" w:cs="Segoe UI"/>
          <w:noProof/>
          <w:color w:val="auto"/>
          <w:sz w:val="20"/>
          <w:szCs w:val="20"/>
          <w:u w:val="none"/>
          <w:lang w:val="es-419"/>
        </w:rPr>
        <w:t>et</w:t>
      </w:r>
      <w:r w:rsidR="00350038" w:rsidRPr="00023393">
        <w:rPr>
          <w:rStyle w:val="Lienhypertexte"/>
          <w:rFonts w:ascii="Segoe UI" w:hAnsi="Segoe UI" w:cs="Segoe UI"/>
          <w:noProof/>
          <w:color w:val="auto"/>
          <w:sz w:val="20"/>
          <w:szCs w:val="20"/>
          <w:u w:val="none"/>
          <w:lang w:val="es-419"/>
        </w:rPr>
        <w:t xml:space="preserve"> importé des marchandises en provenance de 176 pays</w:t>
      </w:r>
      <w:r w:rsidR="00DA3FC6" w:rsidRPr="00023393">
        <w:rPr>
          <w:rStyle w:val="Lienhypertexte"/>
          <w:rFonts w:ascii="Segoe UI" w:hAnsi="Segoe UI" w:cs="Segoe UI"/>
          <w:noProof/>
          <w:color w:val="auto"/>
          <w:sz w:val="20"/>
          <w:szCs w:val="20"/>
          <w:u w:val="none"/>
          <w:lang w:val="es-419"/>
        </w:rPr>
        <w:t xml:space="preserve"> (172 en 2023)</w:t>
      </w:r>
      <w:r w:rsidR="00350038" w:rsidRPr="00023393">
        <w:rPr>
          <w:rStyle w:val="Lienhypertexte"/>
          <w:rFonts w:ascii="Segoe UI" w:hAnsi="Segoe UI" w:cs="Segoe UI"/>
          <w:noProof/>
          <w:color w:val="auto"/>
          <w:sz w:val="20"/>
          <w:szCs w:val="20"/>
          <w:u w:val="none"/>
          <w:lang w:val="es-419"/>
        </w:rPr>
        <w:t xml:space="preserve">. </w:t>
      </w:r>
      <w:r w:rsidR="00724212" w:rsidRPr="00023393">
        <w:rPr>
          <w:rStyle w:val="Lienhypertexte"/>
          <w:rFonts w:ascii="Segoe UI" w:hAnsi="Segoe UI" w:cs="Segoe UI"/>
          <w:noProof/>
          <w:color w:val="auto"/>
          <w:sz w:val="20"/>
          <w:szCs w:val="20"/>
          <w:u w:val="none"/>
          <w:lang w:val="es-419"/>
        </w:rPr>
        <w:t>Ses ventes à destination de l’Union européenne ont atteint 13,0 Mds EUR, représentant 69,2 %</w:t>
      </w:r>
      <w:r w:rsidR="00DA3FC6" w:rsidRPr="00023393">
        <w:rPr>
          <w:rStyle w:val="Lienhypertexte"/>
          <w:rFonts w:ascii="Segoe UI" w:hAnsi="Segoe UI" w:cs="Segoe UI"/>
          <w:noProof/>
          <w:color w:val="auto"/>
          <w:sz w:val="20"/>
          <w:szCs w:val="20"/>
          <w:u w:val="none"/>
          <w:lang w:val="es-419"/>
        </w:rPr>
        <w:t xml:space="preserve"> (61,1 % en 2023)</w:t>
      </w:r>
      <w:r w:rsidR="00724212" w:rsidRPr="00023393">
        <w:rPr>
          <w:rStyle w:val="Lienhypertexte"/>
          <w:rFonts w:ascii="Segoe UI" w:hAnsi="Segoe UI" w:cs="Segoe UI"/>
          <w:noProof/>
          <w:color w:val="auto"/>
          <w:sz w:val="20"/>
          <w:szCs w:val="20"/>
          <w:u w:val="none"/>
          <w:lang w:val="es-419"/>
        </w:rPr>
        <w:t xml:space="preserve"> de ses exportations totales, dont 9,8 Mds EUR (52,5 %) vers la zone euro.</w:t>
      </w:r>
    </w:p>
    <w:p w14:paraId="774D703F" w14:textId="3B3C5575" w:rsidR="007500F9" w:rsidRPr="00830648" w:rsidRDefault="00E73CA3" w:rsidP="00592748">
      <w:pPr>
        <w:pStyle w:val="Titre02"/>
        <w:spacing w:before="0" w:after="120"/>
        <w:rPr>
          <w:rStyle w:val="Lienhypertexte"/>
          <w:bCs/>
          <w:noProof/>
          <w:color w:val="auto"/>
          <w:sz w:val="20"/>
          <w:u w:val="none"/>
          <w:lang w:val="es-419"/>
        </w:rPr>
      </w:pPr>
      <w:r w:rsidRPr="00294ADD">
        <w:rPr>
          <w:rStyle w:val="Lienhypertexte"/>
          <w:b w:val="0"/>
          <w:bCs/>
          <w:noProof/>
          <w:color w:val="auto"/>
          <w:sz w:val="20"/>
          <w:u w:val="none"/>
          <w:lang w:val="es-419"/>
        </w:rPr>
        <w:t xml:space="preserve">Ses principaux marchés à l’export sont </w:t>
      </w:r>
      <w:r w:rsidRPr="00830648">
        <w:rPr>
          <w:rStyle w:val="Lienhypertexte"/>
          <w:b w:val="0"/>
          <w:bCs/>
          <w:noProof/>
          <w:color w:val="auto"/>
          <w:sz w:val="20"/>
          <w:u w:val="none"/>
          <w:lang w:val="es-419"/>
        </w:rPr>
        <w:t>la Lituanie</w:t>
      </w:r>
      <w:r w:rsidR="00B21503" w:rsidRPr="00830648">
        <w:rPr>
          <w:rStyle w:val="Lienhypertexte"/>
          <w:b w:val="0"/>
          <w:bCs/>
          <w:noProof/>
          <w:color w:val="auto"/>
          <w:sz w:val="20"/>
          <w:u w:val="none"/>
          <w:lang w:val="es-419"/>
        </w:rPr>
        <w:t xml:space="preserve"> </w:t>
      </w:r>
      <w:r w:rsidR="00630105" w:rsidRPr="00830648">
        <w:rPr>
          <w:rStyle w:val="Lienhypertexte"/>
          <w:b w:val="0"/>
          <w:bCs/>
          <w:noProof/>
          <w:color w:val="auto"/>
          <w:sz w:val="20"/>
          <w:u w:val="none"/>
          <w:lang w:val="es-419"/>
        </w:rPr>
        <w:t>(</w:t>
      </w:r>
      <w:r w:rsidR="00B21503" w:rsidRPr="00830648">
        <w:rPr>
          <w:rStyle w:val="Lienhypertexte"/>
          <w:b w:val="0"/>
          <w:bCs/>
          <w:noProof/>
          <w:color w:val="auto"/>
          <w:sz w:val="20"/>
          <w:u w:val="none"/>
          <w:lang w:val="es-419"/>
        </w:rPr>
        <w:t>18,1 %)</w:t>
      </w:r>
      <w:r w:rsidRPr="00830648">
        <w:rPr>
          <w:rStyle w:val="Lienhypertexte"/>
          <w:b w:val="0"/>
          <w:bCs/>
          <w:noProof/>
          <w:color w:val="auto"/>
          <w:sz w:val="20"/>
          <w:u w:val="none"/>
          <w:lang w:val="es-419"/>
        </w:rPr>
        <w:t>, l’Estonie</w:t>
      </w:r>
      <w:r w:rsidR="00B21503" w:rsidRPr="00830648">
        <w:rPr>
          <w:rStyle w:val="Lienhypertexte"/>
          <w:b w:val="0"/>
          <w:bCs/>
          <w:noProof/>
          <w:color w:val="auto"/>
          <w:sz w:val="20"/>
          <w:u w:val="none"/>
          <w:lang w:val="es-419"/>
        </w:rPr>
        <w:t xml:space="preserve"> (11,8 %)</w:t>
      </w:r>
      <w:r w:rsidRPr="00830648">
        <w:rPr>
          <w:rStyle w:val="Lienhypertexte"/>
          <w:b w:val="0"/>
          <w:bCs/>
          <w:noProof/>
          <w:color w:val="auto"/>
          <w:sz w:val="20"/>
          <w:u w:val="none"/>
          <w:lang w:val="es-419"/>
        </w:rPr>
        <w:t>, l’</w:t>
      </w:r>
      <w:r w:rsidR="00B21503" w:rsidRPr="00830648">
        <w:rPr>
          <w:rStyle w:val="Lienhypertexte"/>
          <w:b w:val="0"/>
          <w:bCs/>
          <w:noProof/>
          <w:color w:val="auto"/>
          <w:sz w:val="20"/>
          <w:u w:val="none"/>
          <w:lang w:val="es-419"/>
        </w:rPr>
        <w:t>Allemagne (6,5 %)</w:t>
      </w:r>
      <w:r w:rsidRPr="00830648">
        <w:rPr>
          <w:rStyle w:val="Lienhypertexte"/>
          <w:b w:val="0"/>
          <w:bCs/>
          <w:noProof/>
          <w:color w:val="auto"/>
          <w:sz w:val="20"/>
          <w:u w:val="none"/>
          <w:lang w:val="es-419"/>
        </w:rPr>
        <w:t xml:space="preserve">, la Suède </w:t>
      </w:r>
      <w:r w:rsidR="00B21503" w:rsidRPr="00830648">
        <w:rPr>
          <w:rStyle w:val="Lienhypertexte"/>
          <w:b w:val="0"/>
          <w:bCs/>
          <w:noProof/>
          <w:color w:val="auto"/>
          <w:sz w:val="20"/>
          <w:u w:val="none"/>
          <w:lang w:val="es-419"/>
        </w:rPr>
        <w:t xml:space="preserve">(5,5 %) </w:t>
      </w:r>
      <w:r w:rsidRPr="00830648">
        <w:rPr>
          <w:rStyle w:val="Lienhypertexte"/>
          <w:b w:val="0"/>
          <w:bCs/>
          <w:noProof/>
          <w:color w:val="auto"/>
          <w:sz w:val="20"/>
          <w:u w:val="none"/>
          <w:lang w:val="es-419"/>
        </w:rPr>
        <w:t>et la Russie</w:t>
      </w:r>
      <w:r w:rsidR="00B21503" w:rsidRPr="00830648">
        <w:rPr>
          <w:rStyle w:val="Lienhypertexte"/>
          <w:b w:val="0"/>
          <w:bCs/>
          <w:noProof/>
          <w:color w:val="auto"/>
          <w:sz w:val="20"/>
          <w:u w:val="none"/>
          <w:lang w:val="es-419"/>
        </w:rPr>
        <w:t xml:space="preserve"> (5,5 %)</w:t>
      </w:r>
      <w:r w:rsidRPr="00830648">
        <w:rPr>
          <w:rStyle w:val="Lienhypertexte"/>
          <w:b w:val="0"/>
          <w:bCs/>
          <w:noProof/>
          <w:color w:val="auto"/>
          <w:sz w:val="20"/>
          <w:u w:val="none"/>
          <w:lang w:val="es-419"/>
        </w:rPr>
        <w:t xml:space="preserve">. </w:t>
      </w:r>
    </w:p>
    <w:p w14:paraId="6B79F023" w14:textId="77777777" w:rsidR="000E6FDB" w:rsidRDefault="00724212" w:rsidP="00592748">
      <w:pPr>
        <w:pStyle w:val="NormalWeb"/>
        <w:spacing w:before="0" w:beforeAutospacing="0" w:after="120" w:afterAutospacing="0"/>
        <w:ind w:left="-284"/>
        <w:jc w:val="both"/>
        <w:rPr>
          <w:rStyle w:val="Lienhypertexte"/>
          <w:rFonts w:ascii="Segoe UI" w:hAnsi="Segoe UI" w:cs="Segoe UI"/>
          <w:noProof/>
          <w:color w:val="auto"/>
          <w:sz w:val="20"/>
          <w:szCs w:val="20"/>
          <w:u w:val="none"/>
          <w:lang w:val="es-419"/>
        </w:rPr>
      </w:pPr>
      <w:r w:rsidRPr="00023393">
        <w:rPr>
          <w:rStyle w:val="Lienhypertexte"/>
          <w:rFonts w:ascii="Segoe UI" w:hAnsi="Segoe UI" w:cs="Segoe UI"/>
          <w:noProof/>
          <w:color w:val="auto"/>
          <w:sz w:val="20"/>
          <w:szCs w:val="20"/>
          <w:u w:val="none"/>
          <w:lang w:val="es-419"/>
        </w:rPr>
        <w:t>Les importations en provenance de l’UE s’élèvent à 18,1 Mds EUR, soit 83,3 % du total</w:t>
      </w:r>
      <w:r w:rsidR="00C25A08" w:rsidRPr="00023393">
        <w:rPr>
          <w:rStyle w:val="Lienhypertexte"/>
          <w:rFonts w:ascii="Segoe UI" w:hAnsi="Segoe UI" w:cs="Segoe UI"/>
          <w:noProof/>
          <w:color w:val="auto"/>
          <w:sz w:val="20"/>
          <w:szCs w:val="20"/>
          <w:u w:val="none"/>
          <w:lang w:val="es-419"/>
        </w:rPr>
        <w:t xml:space="preserve"> (80,6 % en 2023)</w:t>
      </w:r>
      <w:r w:rsidRPr="00023393">
        <w:rPr>
          <w:rStyle w:val="Lienhypertexte"/>
          <w:rFonts w:ascii="Segoe UI" w:hAnsi="Segoe UI" w:cs="Segoe UI"/>
          <w:noProof/>
          <w:color w:val="auto"/>
          <w:sz w:val="20"/>
          <w:szCs w:val="20"/>
          <w:u w:val="none"/>
          <w:lang w:val="es-419"/>
        </w:rPr>
        <w:t>, dont</w:t>
      </w:r>
      <w:r w:rsidR="007500F9">
        <w:rPr>
          <w:rStyle w:val="Lienhypertexte"/>
          <w:rFonts w:ascii="Segoe UI" w:hAnsi="Segoe UI" w:cs="Segoe UI"/>
          <w:noProof/>
          <w:color w:val="auto"/>
          <w:sz w:val="20"/>
          <w:szCs w:val="20"/>
          <w:u w:val="none"/>
          <w:lang w:val="es-419"/>
        </w:rPr>
        <w:t xml:space="preserve"> </w:t>
      </w:r>
      <w:r w:rsidRPr="00023393">
        <w:rPr>
          <w:rStyle w:val="Lienhypertexte"/>
          <w:rFonts w:ascii="Segoe UI" w:hAnsi="Segoe UI" w:cs="Segoe UI"/>
          <w:noProof/>
          <w:color w:val="auto"/>
          <w:sz w:val="20"/>
          <w:szCs w:val="20"/>
          <w:u w:val="none"/>
          <w:lang w:val="es-419"/>
        </w:rPr>
        <w:t>13,8 Mds EUR (63,3 %) provenant de la zone euro</w:t>
      </w:r>
      <w:r w:rsidR="00630105">
        <w:rPr>
          <w:rStyle w:val="Lienhypertexte"/>
          <w:rFonts w:ascii="Segoe UI" w:hAnsi="Segoe UI" w:cs="Segoe UI"/>
          <w:noProof/>
          <w:color w:val="auto"/>
          <w:sz w:val="20"/>
          <w:szCs w:val="20"/>
          <w:u w:val="none"/>
          <w:lang w:val="es-419"/>
        </w:rPr>
        <w:t xml:space="preserve">. </w:t>
      </w:r>
      <w:r w:rsidR="00E73CA3">
        <w:rPr>
          <w:rStyle w:val="Lienhypertexte"/>
          <w:rFonts w:ascii="Segoe UI" w:hAnsi="Segoe UI" w:cs="Segoe UI"/>
          <w:noProof/>
          <w:color w:val="auto"/>
          <w:sz w:val="20"/>
          <w:szCs w:val="20"/>
          <w:u w:val="none"/>
          <w:lang w:val="es-419"/>
        </w:rPr>
        <w:t>Les principaux fournisseurs de la Lettonie</w:t>
      </w:r>
      <w:r w:rsidR="00E73CA3" w:rsidRPr="005C202F">
        <w:rPr>
          <w:rStyle w:val="Lienhypertexte"/>
          <w:rFonts w:ascii="Segoe UI" w:hAnsi="Segoe UI" w:cs="Segoe UI"/>
          <w:noProof/>
          <w:color w:val="auto"/>
          <w:sz w:val="20"/>
          <w:szCs w:val="20"/>
          <w:u w:val="none"/>
          <w:lang w:val="es-419"/>
        </w:rPr>
        <w:t xml:space="preserve"> sont</w:t>
      </w:r>
      <w:r w:rsidR="001B4BB2" w:rsidRPr="005C202F">
        <w:rPr>
          <w:rStyle w:val="Lienhypertexte"/>
          <w:rFonts w:ascii="Segoe UI" w:hAnsi="Segoe UI" w:cs="Segoe UI"/>
          <w:noProof/>
          <w:color w:val="auto"/>
          <w:sz w:val="20"/>
          <w:szCs w:val="20"/>
          <w:u w:val="none"/>
          <w:lang w:val="es-419"/>
        </w:rPr>
        <w:t xml:space="preserve"> </w:t>
      </w:r>
      <w:r w:rsidR="00E73CA3" w:rsidRPr="005C202F">
        <w:rPr>
          <w:rStyle w:val="Lienhypertexte"/>
          <w:rFonts w:ascii="Segoe UI" w:hAnsi="Segoe UI" w:cs="Segoe UI"/>
          <w:noProof/>
          <w:color w:val="auto"/>
          <w:sz w:val="20"/>
          <w:szCs w:val="20"/>
          <w:u w:val="none"/>
          <w:lang w:val="es-419"/>
        </w:rPr>
        <w:t>la Lituanie</w:t>
      </w:r>
      <w:r w:rsidR="00B21503" w:rsidRPr="005C202F">
        <w:rPr>
          <w:rStyle w:val="Lienhypertexte"/>
          <w:rFonts w:ascii="Segoe UI" w:hAnsi="Segoe UI" w:cs="Segoe UI"/>
          <w:noProof/>
          <w:color w:val="auto"/>
          <w:sz w:val="20"/>
          <w:szCs w:val="20"/>
          <w:u w:val="none"/>
          <w:lang w:val="es-419"/>
        </w:rPr>
        <w:t xml:space="preserve"> (20,</w:t>
      </w:r>
      <w:r w:rsidR="00487DC4">
        <w:rPr>
          <w:rStyle w:val="Lienhypertexte"/>
          <w:rFonts w:ascii="Segoe UI" w:hAnsi="Segoe UI" w:cs="Segoe UI"/>
          <w:noProof/>
          <w:color w:val="auto"/>
          <w:sz w:val="20"/>
          <w:szCs w:val="20"/>
          <w:u w:val="none"/>
          <w:lang w:val="es-419"/>
        </w:rPr>
        <w:t>7</w:t>
      </w:r>
      <w:r w:rsidR="00B21503" w:rsidRPr="005C202F">
        <w:rPr>
          <w:rStyle w:val="Lienhypertexte"/>
          <w:rFonts w:ascii="Segoe UI" w:hAnsi="Segoe UI" w:cs="Segoe UI"/>
          <w:noProof/>
          <w:color w:val="auto"/>
          <w:sz w:val="20"/>
          <w:szCs w:val="20"/>
          <w:u w:val="none"/>
          <w:lang w:val="es-419"/>
        </w:rPr>
        <w:t xml:space="preserve"> %)</w:t>
      </w:r>
      <w:r w:rsidR="00E73CA3" w:rsidRPr="005C202F">
        <w:rPr>
          <w:rStyle w:val="Lienhypertexte"/>
          <w:rFonts w:ascii="Segoe UI" w:hAnsi="Segoe UI" w:cs="Segoe UI"/>
          <w:noProof/>
          <w:color w:val="auto"/>
          <w:sz w:val="20"/>
          <w:szCs w:val="20"/>
          <w:u w:val="none"/>
          <w:lang w:val="es-419"/>
        </w:rPr>
        <w:t>, l’</w:t>
      </w:r>
      <w:r w:rsidR="00B21503" w:rsidRPr="005C202F">
        <w:rPr>
          <w:rStyle w:val="Lienhypertexte"/>
          <w:rFonts w:ascii="Segoe UI" w:hAnsi="Segoe UI" w:cs="Segoe UI"/>
          <w:noProof/>
          <w:color w:val="auto"/>
          <w:sz w:val="20"/>
          <w:szCs w:val="20"/>
          <w:u w:val="none"/>
          <w:lang w:val="es-419"/>
        </w:rPr>
        <w:t>Allemagne (11,6 %)</w:t>
      </w:r>
      <w:r w:rsidR="00E73CA3" w:rsidRPr="005C202F">
        <w:rPr>
          <w:rStyle w:val="Lienhypertexte"/>
          <w:rFonts w:ascii="Segoe UI" w:hAnsi="Segoe UI" w:cs="Segoe UI"/>
          <w:noProof/>
          <w:color w:val="auto"/>
          <w:sz w:val="20"/>
          <w:szCs w:val="20"/>
          <w:u w:val="none"/>
          <w:lang w:val="es-419"/>
        </w:rPr>
        <w:t>, la Pologne</w:t>
      </w:r>
      <w:r w:rsidR="00B21503" w:rsidRPr="005C202F">
        <w:rPr>
          <w:rStyle w:val="Lienhypertexte"/>
          <w:rFonts w:ascii="Segoe UI" w:hAnsi="Segoe UI" w:cs="Segoe UI"/>
          <w:noProof/>
          <w:color w:val="auto"/>
          <w:sz w:val="20"/>
          <w:szCs w:val="20"/>
          <w:u w:val="none"/>
          <w:lang w:val="es-419"/>
        </w:rPr>
        <w:t xml:space="preserve"> (11 %)</w:t>
      </w:r>
      <w:r w:rsidR="00E73CA3" w:rsidRPr="005C202F">
        <w:rPr>
          <w:rStyle w:val="Lienhypertexte"/>
          <w:rFonts w:ascii="Segoe UI" w:hAnsi="Segoe UI" w:cs="Segoe UI"/>
          <w:noProof/>
          <w:color w:val="auto"/>
          <w:sz w:val="20"/>
          <w:szCs w:val="20"/>
          <w:u w:val="none"/>
          <w:lang w:val="es-419"/>
        </w:rPr>
        <w:t>, l’Estonie</w:t>
      </w:r>
      <w:r w:rsidR="00B21503" w:rsidRPr="005C202F">
        <w:rPr>
          <w:rStyle w:val="Lienhypertexte"/>
          <w:rFonts w:ascii="Segoe UI" w:hAnsi="Segoe UI" w:cs="Segoe UI"/>
          <w:noProof/>
          <w:color w:val="auto"/>
          <w:sz w:val="20"/>
          <w:szCs w:val="20"/>
          <w:u w:val="none"/>
          <w:lang w:val="es-419"/>
        </w:rPr>
        <w:t xml:space="preserve"> (8,6 %)</w:t>
      </w:r>
      <w:r w:rsidR="00E73CA3" w:rsidRPr="005C202F">
        <w:rPr>
          <w:rStyle w:val="Lienhypertexte"/>
          <w:rFonts w:ascii="Segoe UI" w:hAnsi="Segoe UI" w:cs="Segoe UI"/>
          <w:noProof/>
          <w:color w:val="auto"/>
          <w:sz w:val="20"/>
          <w:szCs w:val="20"/>
          <w:u w:val="none"/>
          <w:lang w:val="es-419"/>
        </w:rPr>
        <w:t xml:space="preserve"> et la Finlande</w:t>
      </w:r>
      <w:r w:rsidR="00B21503" w:rsidRPr="005C202F">
        <w:rPr>
          <w:rStyle w:val="Lienhypertexte"/>
          <w:rFonts w:ascii="Segoe UI" w:hAnsi="Segoe UI" w:cs="Segoe UI"/>
          <w:noProof/>
          <w:color w:val="auto"/>
          <w:sz w:val="20"/>
          <w:szCs w:val="20"/>
          <w:u w:val="none"/>
          <w:lang w:val="es-419"/>
        </w:rPr>
        <w:t xml:space="preserve"> (5,5 %)</w:t>
      </w:r>
      <w:r w:rsidR="00E73CA3" w:rsidRPr="005C202F">
        <w:rPr>
          <w:rStyle w:val="Lienhypertexte"/>
          <w:rFonts w:ascii="Segoe UI" w:hAnsi="Segoe UI" w:cs="Segoe UI"/>
          <w:noProof/>
          <w:color w:val="auto"/>
          <w:sz w:val="20"/>
          <w:szCs w:val="20"/>
          <w:u w:val="none"/>
          <w:lang w:val="es-419"/>
        </w:rPr>
        <w:t>.</w:t>
      </w:r>
      <w:r w:rsidR="007500F9">
        <w:rPr>
          <w:rStyle w:val="Lienhypertexte"/>
          <w:rFonts w:ascii="Segoe UI" w:hAnsi="Segoe UI" w:cs="Segoe UI"/>
          <w:noProof/>
          <w:color w:val="auto"/>
          <w:sz w:val="20"/>
          <w:szCs w:val="20"/>
          <w:u w:val="none"/>
          <w:lang w:val="es-419"/>
        </w:rPr>
        <w:t xml:space="preserve"> </w:t>
      </w:r>
    </w:p>
    <w:p w14:paraId="09805959" w14:textId="6E795EE8" w:rsidR="000E6FDB" w:rsidRPr="000E6FDB" w:rsidRDefault="00724212" w:rsidP="00592748">
      <w:pPr>
        <w:pStyle w:val="NormalWeb"/>
        <w:spacing w:before="0" w:beforeAutospacing="0" w:after="120" w:afterAutospacing="0"/>
        <w:ind w:left="-284"/>
        <w:jc w:val="both"/>
        <w:rPr>
          <w:rStyle w:val="Lienhypertexte"/>
          <w:color w:val="auto"/>
          <w:u w:val="none"/>
          <w:lang w:val="es-419"/>
        </w:rPr>
      </w:pPr>
      <w:r w:rsidRPr="00023393">
        <w:rPr>
          <w:rStyle w:val="Lienhypertexte"/>
          <w:rFonts w:ascii="Segoe UI" w:hAnsi="Segoe UI" w:cs="Segoe UI"/>
          <w:noProof/>
          <w:color w:val="auto"/>
          <w:sz w:val="20"/>
          <w:szCs w:val="20"/>
          <w:u w:val="none"/>
          <w:lang w:val="es-419"/>
        </w:rPr>
        <w:t>Enfin, la France est le 13ᵉ fournisseur de la Lettonie et son 12ᵉ client en 2024, avec des parts de marché de 1,9 % et 2,8 % respectivement.</w:t>
      </w:r>
      <w:r w:rsidR="00E73CA3">
        <w:rPr>
          <w:rStyle w:val="Lienhypertexte"/>
          <w:rFonts w:ascii="Segoe UI" w:hAnsi="Segoe UI" w:cs="Segoe UI"/>
          <w:noProof/>
          <w:color w:val="auto"/>
          <w:sz w:val="20"/>
          <w:szCs w:val="20"/>
          <w:u w:val="none"/>
          <w:lang w:val="es-419"/>
        </w:rPr>
        <w:t xml:space="preserve"> </w:t>
      </w:r>
      <w:r w:rsidR="000E6FDB" w:rsidRPr="000E6FDB">
        <w:rPr>
          <w:rStyle w:val="Lienhypertexte"/>
          <w:rFonts w:ascii="Segoe UI" w:hAnsi="Segoe UI" w:cs="Segoe UI"/>
          <w:noProof/>
          <w:color w:val="auto"/>
          <w:sz w:val="20"/>
          <w:szCs w:val="20"/>
          <w:u w:val="none"/>
          <w:lang w:val="es-419"/>
        </w:rPr>
        <w:t xml:space="preserve">Les États-Unis représentent </w:t>
      </w:r>
      <w:r w:rsidR="000E6FDB" w:rsidRPr="000E6FDB">
        <w:rPr>
          <w:rStyle w:val="Lienhypertexte"/>
          <w:rFonts w:ascii="Segoe UI" w:eastAsiaTheme="majorEastAsia" w:hAnsi="Segoe UI" w:cs="Segoe UI"/>
          <w:noProof/>
          <w:color w:val="auto"/>
          <w:sz w:val="20"/>
          <w:szCs w:val="20"/>
          <w:u w:val="none"/>
          <w:lang w:val="es-419"/>
        </w:rPr>
        <w:t>1,1 % des importations</w:t>
      </w:r>
      <w:r w:rsidR="000E6FDB" w:rsidRPr="000E6FDB">
        <w:rPr>
          <w:rStyle w:val="Lienhypertexte"/>
          <w:rFonts w:ascii="Segoe UI" w:hAnsi="Segoe UI" w:cs="Segoe UI"/>
          <w:noProof/>
          <w:color w:val="auto"/>
          <w:sz w:val="20"/>
          <w:szCs w:val="20"/>
          <w:u w:val="none"/>
          <w:lang w:val="es-419"/>
        </w:rPr>
        <w:t xml:space="preserve"> et </w:t>
      </w:r>
      <w:r w:rsidR="000E6FDB" w:rsidRPr="000E6FDB">
        <w:rPr>
          <w:rStyle w:val="Lienhypertexte"/>
          <w:rFonts w:ascii="Segoe UI" w:eastAsiaTheme="majorEastAsia" w:hAnsi="Segoe UI" w:cs="Segoe UI"/>
          <w:noProof/>
          <w:color w:val="auto"/>
          <w:sz w:val="20"/>
          <w:szCs w:val="20"/>
          <w:u w:val="none"/>
          <w:lang w:val="es-419"/>
        </w:rPr>
        <w:t>2,8 % des exportations</w:t>
      </w:r>
      <w:r w:rsidR="000E6FDB" w:rsidRPr="000E6FDB">
        <w:rPr>
          <w:rStyle w:val="Lienhypertexte"/>
          <w:rFonts w:ascii="Segoe UI" w:hAnsi="Segoe UI" w:cs="Segoe UI"/>
          <w:noProof/>
          <w:color w:val="auto"/>
          <w:sz w:val="20"/>
          <w:szCs w:val="20"/>
          <w:u w:val="none"/>
          <w:lang w:val="es-419"/>
        </w:rPr>
        <w:t xml:space="preserve">, tandis que la Chine en </w:t>
      </w:r>
      <w:r w:rsidR="000E6FDB">
        <w:rPr>
          <w:rStyle w:val="Lienhypertexte"/>
          <w:rFonts w:ascii="Segoe UI" w:hAnsi="Segoe UI" w:cs="Segoe UI"/>
          <w:noProof/>
          <w:color w:val="auto"/>
          <w:sz w:val="20"/>
          <w:szCs w:val="20"/>
          <w:u w:val="none"/>
          <w:lang w:val="es-419"/>
        </w:rPr>
        <w:t>totalise</w:t>
      </w:r>
      <w:r w:rsidR="000E6FDB" w:rsidRPr="000E6FDB">
        <w:rPr>
          <w:rStyle w:val="Lienhypertexte"/>
          <w:rFonts w:ascii="Segoe UI" w:hAnsi="Segoe UI" w:cs="Segoe UI"/>
          <w:noProof/>
          <w:color w:val="auto"/>
          <w:sz w:val="20"/>
          <w:szCs w:val="20"/>
          <w:u w:val="none"/>
          <w:lang w:val="es-419"/>
        </w:rPr>
        <w:t xml:space="preserve"> respectivement </w:t>
      </w:r>
      <w:r w:rsidR="000E6FDB" w:rsidRPr="000E6FDB">
        <w:rPr>
          <w:rStyle w:val="Lienhypertexte"/>
          <w:rFonts w:ascii="Segoe UI" w:eastAsiaTheme="majorEastAsia" w:hAnsi="Segoe UI" w:cs="Segoe UI"/>
          <w:noProof/>
          <w:color w:val="auto"/>
          <w:sz w:val="20"/>
          <w:szCs w:val="20"/>
          <w:u w:val="none"/>
          <w:lang w:val="es-419"/>
        </w:rPr>
        <w:t>3,8 %</w:t>
      </w:r>
      <w:r w:rsidR="000E6FDB" w:rsidRPr="000E6FDB">
        <w:rPr>
          <w:rStyle w:val="Lienhypertexte"/>
          <w:rFonts w:ascii="Segoe UI" w:hAnsi="Segoe UI" w:cs="Segoe UI"/>
          <w:noProof/>
          <w:color w:val="auto"/>
          <w:sz w:val="20"/>
          <w:szCs w:val="20"/>
          <w:u w:val="none"/>
          <w:lang w:val="es-419"/>
        </w:rPr>
        <w:t xml:space="preserve"> et </w:t>
      </w:r>
      <w:r w:rsidR="000E6FDB" w:rsidRPr="000E6FDB">
        <w:rPr>
          <w:rStyle w:val="Lienhypertexte"/>
          <w:rFonts w:ascii="Segoe UI" w:eastAsiaTheme="majorEastAsia" w:hAnsi="Segoe UI" w:cs="Segoe UI"/>
          <w:noProof/>
          <w:color w:val="auto"/>
          <w:sz w:val="20"/>
          <w:szCs w:val="20"/>
          <w:u w:val="none"/>
          <w:lang w:val="es-419"/>
        </w:rPr>
        <w:t>1,1 %</w:t>
      </w:r>
      <w:r w:rsidR="000E6FDB" w:rsidRPr="000E6FDB">
        <w:rPr>
          <w:rStyle w:val="Lienhypertexte"/>
          <w:rFonts w:ascii="Segoe UI" w:hAnsi="Segoe UI" w:cs="Segoe UI"/>
          <w:noProof/>
          <w:color w:val="auto"/>
          <w:sz w:val="20"/>
          <w:szCs w:val="20"/>
          <w:u w:val="none"/>
          <w:lang w:val="es-419"/>
        </w:rPr>
        <w:t>.</w:t>
      </w:r>
    </w:p>
    <w:p w14:paraId="1CC08EC3" w14:textId="1BF05598" w:rsidR="00DD190F" w:rsidRPr="007C51C9" w:rsidRDefault="008A5E0D" w:rsidP="000E6FDB">
      <w:pPr>
        <w:pStyle w:val="NormalWeb"/>
        <w:spacing w:before="0" w:beforeAutospacing="0" w:after="120" w:afterAutospacing="0"/>
        <w:ind w:left="-284"/>
        <w:jc w:val="both"/>
        <w:rPr>
          <w:rFonts w:ascii="Segoe UI" w:hAnsi="Segoe UI" w:cs="Segoe UI"/>
          <w:noProof/>
          <w:sz w:val="20"/>
          <w:szCs w:val="20"/>
          <w:lang w:val="es-419"/>
        </w:rPr>
      </w:pPr>
      <w:r w:rsidRPr="00500C5B">
        <w:rPr>
          <w:rFonts w:ascii="Segoe UI" w:hAnsi="Segoe UI" w:cs="Segoe UI"/>
          <w:b/>
          <w:color w:val="000091" w:themeColor="text1"/>
          <w:sz w:val="22"/>
          <w:szCs w:val="20"/>
        </w:rPr>
        <w:t>En</w:t>
      </w:r>
      <w:r w:rsidR="002F1054">
        <w:rPr>
          <w:rFonts w:ascii="Segoe UI" w:hAnsi="Segoe UI" w:cs="Segoe UI"/>
          <w:b/>
          <w:color w:val="000091" w:themeColor="text1"/>
          <w:sz w:val="22"/>
          <w:szCs w:val="20"/>
        </w:rPr>
        <w:t xml:space="preserve"> </w:t>
      </w:r>
      <w:r w:rsidR="002F1054" w:rsidRPr="002F1054">
        <w:rPr>
          <w:rFonts w:ascii="Segoe UI" w:hAnsi="Segoe UI" w:cs="Segoe UI"/>
          <w:b/>
          <w:color w:val="000091" w:themeColor="text1"/>
          <w:sz w:val="22"/>
          <w:szCs w:val="20"/>
        </w:rPr>
        <w:t>2024, le secteur du bois redevient leader des exportations, dépassant les appareils électriques et électroniques.</w:t>
      </w:r>
    </w:p>
    <w:p w14:paraId="22B7ECEC" w14:textId="7BC7BBBB" w:rsidR="003D6B68" w:rsidRDefault="00DD190F" w:rsidP="00592748">
      <w:pPr>
        <w:pStyle w:val="Titre02"/>
        <w:spacing w:before="0" w:after="120"/>
        <w:rPr>
          <w:rStyle w:val="Lienhypertexte"/>
          <w:b w:val="0"/>
          <w:noProof/>
          <w:color w:val="auto"/>
          <w:sz w:val="20"/>
          <w:u w:val="none"/>
        </w:rPr>
      </w:pPr>
      <w:r w:rsidRPr="004F386A">
        <w:rPr>
          <w:rStyle w:val="Lienhypertexte"/>
          <w:bCs/>
          <w:noProof/>
          <w:color w:val="auto"/>
          <w:sz w:val="20"/>
          <w:u w:val="none"/>
        </w:rPr>
        <w:lastRenderedPageBreak/>
        <w:t xml:space="preserve">En 2024, les exportations lettones </w:t>
      </w:r>
      <w:r w:rsidR="00A7676B" w:rsidRPr="004F386A">
        <w:rPr>
          <w:rStyle w:val="Lienhypertexte"/>
          <w:bCs/>
          <w:noProof/>
          <w:color w:val="auto"/>
          <w:sz w:val="20"/>
          <w:u w:val="none"/>
        </w:rPr>
        <w:t>ont</w:t>
      </w:r>
      <w:r w:rsidRPr="004F386A">
        <w:rPr>
          <w:rStyle w:val="Lienhypertexte"/>
          <w:bCs/>
          <w:noProof/>
          <w:color w:val="auto"/>
          <w:sz w:val="20"/>
          <w:u w:val="none"/>
        </w:rPr>
        <w:t xml:space="preserve"> </w:t>
      </w:r>
      <w:r w:rsidR="00A7676B" w:rsidRPr="004F386A">
        <w:rPr>
          <w:rStyle w:val="Lienhypertexte"/>
          <w:bCs/>
          <w:noProof/>
          <w:color w:val="auto"/>
          <w:sz w:val="20"/>
          <w:u w:val="none"/>
        </w:rPr>
        <w:t>atteint</w:t>
      </w:r>
      <w:r w:rsidRPr="004F386A">
        <w:rPr>
          <w:rStyle w:val="Lienhypertexte"/>
          <w:bCs/>
          <w:noProof/>
          <w:color w:val="auto"/>
          <w:sz w:val="20"/>
          <w:u w:val="none"/>
        </w:rPr>
        <w:t xml:space="preserve"> 18,7 Mds EUR, contre 19 Mds EUR en 2023</w:t>
      </w:r>
      <w:r w:rsidR="004F386A">
        <w:rPr>
          <w:rStyle w:val="Lienhypertexte"/>
          <w:bCs/>
          <w:noProof/>
          <w:color w:val="auto"/>
          <w:sz w:val="20"/>
          <w:u w:val="none"/>
        </w:rPr>
        <w:t>, soit une réduction de 1,9</w:t>
      </w:r>
      <w:r w:rsidR="001B4BB2">
        <w:rPr>
          <w:rStyle w:val="Lienhypertexte"/>
          <w:bCs/>
          <w:noProof/>
          <w:color w:val="auto"/>
          <w:sz w:val="20"/>
          <w:u w:val="none"/>
        </w:rPr>
        <w:t xml:space="preserve"> </w:t>
      </w:r>
      <w:r w:rsidR="004F386A">
        <w:rPr>
          <w:rStyle w:val="Lienhypertexte"/>
          <w:bCs/>
          <w:noProof/>
          <w:color w:val="auto"/>
          <w:sz w:val="20"/>
          <w:u w:val="none"/>
        </w:rPr>
        <w:t>%</w:t>
      </w:r>
      <w:r w:rsidRPr="004F386A">
        <w:rPr>
          <w:rStyle w:val="Lienhypertexte"/>
          <w:bCs/>
          <w:noProof/>
          <w:color w:val="auto"/>
          <w:sz w:val="20"/>
          <w:u w:val="none"/>
        </w:rPr>
        <w:t>.</w:t>
      </w:r>
      <w:r w:rsidRPr="00023393">
        <w:rPr>
          <w:rStyle w:val="Lienhypertexte"/>
          <w:b w:val="0"/>
          <w:noProof/>
          <w:color w:val="auto"/>
          <w:sz w:val="20"/>
          <w:u w:val="none"/>
        </w:rPr>
        <w:t xml:space="preserve"> La dynamique sectorielle a également évolué, avec le retour de la filière bois en tête des exportations.</w:t>
      </w:r>
    </w:p>
    <w:p w14:paraId="79863B99" w14:textId="4D702815" w:rsidR="00A7676B" w:rsidRPr="003D6B68" w:rsidRDefault="00DD190F" w:rsidP="00592748">
      <w:pPr>
        <w:pStyle w:val="Titre02"/>
        <w:spacing w:before="0" w:after="120"/>
        <w:rPr>
          <w:rStyle w:val="lev"/>
          <w:bCs w:val="0"/>
          <w:noProof/>
          <w:color w:val="auto"/>
          <w:sz w:val="20"/>
        </w:rPr>
      </w:pPr>
      <w:r w:rsidRPr="00023393">
        <w:rPr>
          <w:rStyle w:val="Lienhypertexte"/>
          <w:b w:val="0"/>
          <w:noProof/>
          <w:color w:val="auto"/>
          <w:sz w:val="20"/>
          <w:u w:val="none"/>
        </w:rPr>
        <w:t xml:space="preserve">Ce </w:t>
      </w:r>
      <w:r w:rsidR="00A7676B" w:rsidRPr="00023393">
        <w:rPr>
          <w:rStyle w:val="Lienhypertexte"/>
          <w:b w:val="0"/>
          <w:noProof/>
          <w:color w:val="auto"/>
          <w:sz w:val="20"/>
          <w:u w:val="none"/>
        </w:rPr>
        <w:t>seg</w:t>
      </w:r>
      <w:r w:rsidR="003D6B68">
        <w:rPr>
          <w:rStyle w:val="Lienhypertexte"/>
          <w:b w:val="0"/>
          <w:noProof/>
          <w:color w:val="auto"/>
          <w:sz w:val="20"/>
          <w:u w:val="none"/>
        </w:rPr>
        <w:t>m</w:t>
      </w:r>
      <w:r w:rsidR="00A7676B" w:rsidRPr="00023393">
        <w:rPr>
          <w:rStyle w:val="Lienhypertexte"/>
          <w:b w:val="0"/>
          <w:noProof/>
          <w:color w:val="auto"/>
          <w:sz w:val="20"/>
          <w:u w:val="none"/>
        </w:rPr>
        <w:t>ent</w:t>
      </w:r>
      <w:r w:rsidRPr="00023393">
        <w:rPr>
          <w:rStyle w:val="Lienhypertexte"/>
          <w:b w:val="0"/>
          <w:noProof/>
          <w:color w:val="auto"/>
          <w:sz w:val="20"/>
          <w:u w:val="none"/>
        </w:rPr>
        <w:t xml:space="preserve">, qui inclut le bois, les ouvrages en bois et le charbon de bois, </w:t>
      </w:r>
      <w:r w:rsidR="00A7676B" w:rsidRPr="00023393">
        <w:rPr>
          <w:rStyle w:val="Lienhypertexte"/>
          <w:b w:val="0"/>
          <w:noProof/>
          <w:color w:val="auto"/>
          <w:sz w:val="20"/>
          <w:u w:val="none"/>
        </w:rPr>
        <w:t>a généré</w:t>
      </w:r>
      <w:r w:rsidRPr="00023393">
        <w:rPr>
          <w:rStyle w:val="Lienhypertexte"/>
          <w:b w:val="0"/>
          <w:noProof/>
          <w:color w:val="auto"/>
          <w:sz w:val="20"/>
          <w:u w:val="none"/>
        </w:rPr>
        <w:t xml:space="preserve"> 3,0 Mds EUR, soit 16,1 % des exportations</w:t>
      </w:r>
      <w:r w:rsidR="00A7676B" w:rsidRPr="00023393">
        <w:rPr>
          <w:rStyle w:val="Lienhypertexte"/>
          <w:b w:val="0"/>
          <w:noProof/>
          <w:color w:val="auto"/>
          <w:sz w:val="20"/>
          <w:u w:val="none"/>
        </w:rPr>
        <w:t xml:space="preserve"> totales</w:t>
      </w:r>
      <w:r w:rsidR="0006004A">
        <w:rPr>
          <w:rStyle w:val="Lienhypertexte"/>
          <w:b w:val="0"/>
          <w:noProof/>
          <w:color w:val="auto"/>
          <w:sz w:val="20"/>
          <w:u w:val="none"/>
        </w:rPr>
        <w:t>,</w:t>
      </w:r>
      <w:r w:rsidRPr="00023393">
        <w:rPr>
          <w:rStyle w:val="Lienhypertexte"/>
          <w:b w:val="0"/>
          <w:noProof/>
          <w:color w:val="auto"/>
          <w:sz w:val="20"/>
          <w:u w:val="none"/>
        </w:rPr>
        <w:t xml:space="preserve"> </w:t>
      </w:r>
      <w:r w:rsidR="0006004A">
        <w:rPr>
          <w:rStyle w:val="Lienhypertexte"/>
          <w:b w:val="0"/>
          <w:noProof/>
          <w:color w:val="auto"/>
          <w:sz w:val="20"/>
          <w:u w:val="none"/>
        </w:rPr>
        <w:t>e</w:t>
      </w:r>
      <w:r w:rsidR="00A7676B" w:rsidRPr="00023393">
        <w:rPr>
          <w:rStyle w:val="Lienhypertexte"/>
          <w:b w:val="0"/>
          <w:noProof/>
          <w:color w:val="auto"/>
          <w:sz w:val="20"/>
          <w:u w:val="none"/>
        </w:rPr>
        <w:t>n progression de 5,3 % par rapport à 2023</w:t>
      </w:r>
      <w:r w:rsidR="0006004A">
        <w:rPr>
          <w:rStyle w:val="Lienhypertexte"/>
          <w:b w:val="0"/>
          <w:noProof/>
          <w:color w:val="auto"/>
          <w:sz w:val="20"/>
          <w:u w:val="none"/>
        </w:rPr>
        <w:t>.</w:t>
      </w:r>
      <w:r w:rsidR="00A7676B" w:rsidRPr="00023393">
        <w:rPr>
          <w:rStyle w:val="Lienhypertexte"/>
          <w:b w:val="0"/>
          <w:noProof/>
          <w:color w:val="auto"/>
          <w:sz w:val="20"/>
          <w:u w:val="none"/>
        </w:rPr>
        <w:t xml:space="preserve"> </w:t>
      </w:r>
      <w:r w:rsidR="0006004A">
        <w:rPr>
          <w:rStyle w:val="Lienhypertexte"/>
          <w:b w:val="0"/>
          <w:noProof/>
          <w:color w:val="auto"/>
          <w:sz w:val="20"/>
          <w:u w:val="none"/>
        </w:rPr>
        <w:t>I</w:t>
      </w:r>
      <w:r w:rsidR="00A7676B" w:rsidRPr="00023393">
        <w:rPr>
          <w:rStyle w:val="Lienhypertexte"/>
          <w:b w:val="0"/>
          <w:noProof/>
          <w:color w:val="auto"/>
          <w:sz w:val="20"/>
          <w:u w:val="none"/>
        </w:rPr>
        <w:t>l est exporté principalement vers le Royaume-Uni (22,5 %</w:t>
      </w:r>
      <w:r w:rsidR="009D220F" w:rsidRPr="00023393">
        <w:rPr>
          <w:rStyle w:val="Lienhypertexte"/>
          <w:b w:val="0"/>
          <w:color w:val="auto"/>
          <w:sz w:val="20"/>
          <w:u w:val="none"/>
        </w:rPr>
        <w:t>, contre 20,5 % en 2023)</w:t>
      </w:r>
      <w:r w:rsidR="00A7676B" w:rsidRPr="00023393">
        <w:rPr>
          <w:rStyle w:val="Lienhypertexte"/>
          <w:b w:val="0"/>
          <w:noProof/>
          <w:color w:val="auto"/>
          <w:sz w:val="20"/>
          <w:u w:val="none"/>
        </w:rPr>
        <w:t>, la Suède (12,3 %) et le Danemark (7,3 %).</w:t>
      </w:r>
      <w:r w:rsidR="00A7676B" w:rsidRPr="00023393">
        <w:rPr>
          <w:rStyle w:val="lev"/>
          <w:sz w:val="20"/>
        </w:rPr>
        <w:t xml:space="preserve"> </w:t>
      </w:r>
    </w:p>
    <w:p w14:paraId="373DA407" w14:textId="3879F5BC" w:rsidR="003D6B68" w:rsidRDefault="00A7676B" w:rsidP="00592748">
      <w:pPr>
        <w:pStyle w:val="Titre02"/>
        <w:spacing w:before="0" w:after="120"/>
        <w:rPr>
          <w:rStyle w:val="Lienhypertexte"/>
          <w:b w:val="0"/>
          <w:noProof/>
          <w:color w:val="auto"/>
          <w:sz w:val="20"/>
          <w:u w:val="none"/>
        </w:rPr>
      </w:pPr>
      <w:r w:rsidRPr="00C62094">
        <w:rPr>
          <w:rStyle w:val="Lienhypertexte"/>
          <w:bCs/>
          <w:noProof/>
          <w:color w:val="auto"/>
          <w:sz w:val="20"/>
          <w:u w:val="none"/>
        </w:rPr>
        <w:t>Désormais en deuxième position, l</w:t>
      </w:r>
      <w:r w:rsidR="00DD190F" w:rsidRPr="00C62094">
        <w:rPr>
          <w:rStyle w:val="Lienhypertexte"/>
          <w:bCs/>
          <w:noProof/>
          <w:color w:val="auto"/>
          <w:sz w:val="20"/>
          <w:u w:val="none"/>
        </w:rPr>
        <w:t>es équipements électriques et électroniques, représentent 10,2 % des exportations, enregistrant un</w:t>
      </w:r>
      <w:r w:rsidRPr="00C62094">
        <w:rPr>
          <w:rStyle w:val="Lienhypertexte"/>
          <w:bCs/>
          <w:noProof/>
          <w:color w:val="auto"/>
          <w:sz w:val="20"/>
          <w:u w:val="none"/>
        </w:rPr>
        <w:t xml:space="preserve"> recul </w:t>
      </w:r>
      <w:r w:rsidR="00DD190F" w:rsidRPr="00C62094">
        <w:rPr>
          <w:rStyle w:val="Lienhypertexte"/>
          <w:bCs/>
          <w:noProof/>
          <w:color w:val="auto"/>
          <w:sz w:val="20"/>
          <w:u w:val="none"/>
        </w:rPr>
        <w:t>de 6,9 % par rapport à l’année précédente.</w:t>
      </w:r>
      <w:r w:rsidR="00DD190F" w:rsidRPr="00023393">
        <w:rPr>
          <w:rStyle w:val="Lienhypertexte"/>
          <w:b w:val="0"/>
          <w:noProof/>
          <w:color w:val="auto"/>
          <w:sz w:val="20"/>
          <w:u w:val="none"/>
        </w:rPr>
        <w:t xml:space="preserve"> Ils sont principalement </w:t>
      </w:r>
      <w:r w:rsidRPr="00023393">
        <w:rPr>
          <w:rStyle w:val="Lienhypertexte"/>
          <w:b w:val="0"/>
          <w:noProof/>
          <w:color w:val="auto"/>
          <w:sz w:val="20"/>
          <w:u w:val="none"/>
        </w:rPr>
        <w:t>vendus</w:t>
      </w:r>
      <w:r w:rsidR="00DD190F" w:rsidRPr="00023393">
        <w:rPr>
          <w:rStyle w:val="Lienhypertexte"/>
          <w:b w:val="0"/>
          <w:noProof/>
          <w:color w:val="auto"/>
          <w:sz w:val="20"/>
          <w:u w:val="none"/>
        </w:rPr>
        <w:t xml:space="preserve"> en Lituanie (27,7 %</w:t>
      </w:r>
      <w:r w:rsidR="009D220F" w:rsidRPr="00023393">
        <w:rPr>
          <w:rStyle w:val="Lienhypertexte"/>
          <w:b w:val="0"/>
          <w:color w:val="auto"/>
          <w:sz w:val="20"/>
          <w:u w:val="none"/>
        </w:rPr>
        <w:t>, contre 26,3 % en 2023</w:t>
      </w:r>
      <w:r w:rsidR="00DD190F" w:rsidRPr="00023393">
        <w:rPr>
          <w:rStyle w:val="Lienhypertexte"/>
          <w:b w:val="0"/>
          <w:noProof/>
          <w:color w:val="auto"/>
          <w:sz w:val="20"/>
          <w:u w:val="none"/>
        </w:rPr>
        <w:t>), en Estonie (12 %</w:t>
      </w:r>
      <w:r w:rsidR="009D220F" w:rsidRPr="00023393">
        <w:rPr>
          <w:rStyle w:val="Lienhypertexte"/>
          <w:b w:val="0"/>
          <w:color w:val="auto"/>
          <w:sz w:val="20"/>
          <w:u w:val="none"/>
        </w:rPr>
        <w:t>, contre 12,2 % en 2023</w:t>
      </w:r>
      <w:r w:rsidR="00DD190F" w:rsidRPr="00023393">
        <w:rPr>
          <w:rStyle w:val="Lienhypertexte"/>
          <w:b w:val="0"/>
          <w:noProof/>
          <w:color w:val="auto"/>
          <w:sz w:val="20"/>
          <w:u w:val="none"/>
        </w:rPr>
        <w:t>) et en France (6,1 %)</w:t>
      </w:r>
      <w:r w:rsidR="00E73CA3">
        <w:rPr>
          <w:rStyle w:val="Lienhypertexte"/>
          <w:b w:val="0"/>
          <w:noProof/>
          <w:color w:val="auto"/>
          <w:sz w:val="20"/>
          <w:u w:val="none"/>
        </w:rPr>
        <w:t>, en raison notamment d’échanges intra-groupes avec les implantations industrielles françaises en Lettonie</w:t>
      </w:r>
      <w:r w:rsidR="00DD190F" w:rsidRPr="00023393">
        <w:rPr>
          <w:rStyle w:val="Lienhypertexte"/>
          <w:b w:val="0"/>
          <w:noProof/>
          <w:color w:val="auto"/>
          <w:sz w:val="20"/>
          <w:u w:val="none"/>
        </w:rPr>
        <w:t>.</w:t>
      </w:r>
    </w:p>
    <w:p w14:paraId="3D039B2D" w14:textId="50C52C34" w:rsidR="00A7676B" w:rsidRPr="00023393" w:rsidRDefault="00A7676B" w:rsidP="00592748">
      <w:pPr>
        <w:pStyle w:val="Titre02"/>
        <w:spacing w:before="0" w:after="120"/>
        <w:rPr>
          <w:rStyle w:val="Lienhypertexte"/>
          <w:b w:val="0"/>
          <w:noProof/>
          <w:color w:val="auto"/>
          <w:sz w:val="20"/>
          <w:u w:val="none"/>
        </w:rPr>
      </w:pPr>
      <w:r w:rsidRPr="00023393">
        <w:rPr>
          <w:rStyle w:val="Lienhypertexte"/>
          <w:b w:val="0"/>
          <w:noProof/>
          <w:color w:val="auto"/>
          <w:sz w:val="20"/>
          <w:u w:val="none"/>
        </w:rPr>
        <w:t xml:space="preserve">Les produits minéraux, qui constituent 7,6 % des exportations, affichent une baisse de 4,4 % par rapport à l’année précédente. </w:t>
      </w:r>
      <w:r w:rsidRPr="00023393">
        <w:rPr>
          <w:rStyle w:val="Lienhypertexte"/>
          <w:b w:val="0"/>
          <w:color w:val="auto"/>
          <w:sz w:val="20"/>
          <w:u w:val="none"/>
        </w:rPr>
        <w:t xml:space="preserve">Ils sont </w:t>
      </w:r>
      <w:r w:rsidR="006E0070" w:rsidRPr="00023393">
        <w:rPr>
          <w:rStyle w:val="Lienhypertexte"/>
          <w:b w:val="0"/>
          <w:color w:val="auto"/>
          <w:sz w:val="20"/>
          <w:u w:val="none"/>
        </w:rPr>
        <w:t>vendus</w:t>
      </w:r>
      <w:r w:rsidRPr="00023393">
        <w:rPr>
          <w:rStyle w:val="Lienhypertexte"/>
          <w:b w:val="0"/>
          <w:noProof/>
          <w:color w:val="auto"/>
          <w:sz w:val="20"/>
          <w:u w:val="none"/>
        </w:rPr>
        <w:t xml:space="preserve"> principalement </w:t>
      </w:r>
      <w:r w:rsidR="006E0070" w:rsidRPr="00023393">
        <w:rPr>
          <w:rStyle w:val="Lienhypertexte"/>
          <w:b w:val="0"/>
          <w:color w:val="auto"/>
          <w:sz w:val="20"/>
          <w:u w:val="none"/>
        </w:rPr>
        <w:t xml:space="preserve">en </w:t>
      </w:r>
      <w:r w:rsidRPr="00023393">
        <w:rPr>
          <w:rStyle w:val="Lienhypertexte"/>
          <w:b w:val="0"/>
          <w:noProof/>
          <w:color w:val="auto"/>
          <w:sz w:val="20"/>
          <w:u w:val="none"/>
        </w:rPr>
        <w:t>Lituanie (29,7 %</w:t>
      </w:r>
      <w:r w:rsidR="009D220F" w:rsidRPr="00023393">
        <w:rPr>
          <w:rStyle w:val="Lienhypertexte"/>
          <w:b w:val="0"/>
          <w:color w:val="auto"/>
          <w:sz w:val="20"/>
          <w:u w:val="none"/>
        </w:rPr>
        <w:t>, contre 34,</w:t>
      </w:r>
      <w:r w:rsidR="006E74D4" w:rsidRPr="00023393">
        <w:rPr>
          <w:rStyle w:val="Lienhypertexte"/>
          <w:b w:val="0"/>
          <w:color w:val="auto"/>
          <w:sz w:val="20"/>
          <w:u w:val="none"/>
        </w:rPr>
        <w:t>5% en 2023</w:t>
      </w:r>
      <w:r w:rsidRPr="00023393">
        <w:rPr>
          <w:rStyle w:val="Lienhypertexte"/>
          <w:b w:val="0"/>
          <w:noProof/>
          <w:color w:val="auto"/>
          <w:sz w:val="20"/>
          <w:u w:val="none"/>
        </w:rPr>
        <w:t xml:space="preserve">), </w:t>
      </w:r>
      <w:r w:rsidR="006E0070" w:rsidRPr="00023393">
        <w:rPr>
          <w:rStyle w:val="Lienhypertexte"/>
          <w:b w:val="0"/>
          <w:color w:val="auto"/>
          <w:sz w:val="20"/>
          <w:u w:val="none"/>
        </w:rPr>
        <w:t>en</w:t>
      </w:r>
      <w:r w:rsidRPr="00023393">
        <w:rPr>
          <w:rStyle w:val="Lienhypertexte"/>
          <w:b w:val="0"/>
          <w:noProof/>
          <w:color w:val="auto"/>
          <w:sz w:val="20"/>
          <w:u w:val="none"/>
        </w:rPr>
        <w:t xml:space="preserve"> l’Estonie (13,0 %</w:t>
      </w:r>
      <w:r w:rsidR="006E74D4" w:rsidRPr="00023393">
        <w:rPr>
          <w:rStyle w:val="Lienhypertexte"/>
          <w:b w:val="0"/>
          <w:color w:val="auto"/>
          <w:sz w:val="20"/>
          <w:u w:val="none"/>
        </w:rPr>
        <w:t>, contre 15,3% en 2023</w:t>
      </w:r>
      <w:r w:rsidRPr="00023393">
        <w:rPr>
          <w:rStyle w:val="Lienhypertexte"/>
          <w:b w:val="0"/>
          <w:noProof/>
          <w:color w:val="auto"/>
          <w:sz w:val="20"/>
          <w:u w:val="none"/>
        </w:rPr>
        <w:t xml:space="preserve">) et </w:t>
      </w:r>
      <w:r w:rsidR="006E0070" w:rsidRPr="00023393">
        <w:rPr>
          <w:rStyle w:val="Lienhypertexte"/>
          <w:b w:val="0"/>
          <w:color w:val="auto"/>
          <w:sz w:val="20"/>
          <w:u w:val="none"/>
        </w:rPr>
        <w:t>en</w:t>
      </w:r>
      <w:r w:rsidRPr="00023393">
        <w:rPr>
          <w:rStyle w:val="Lienhypertexte"/>
          <w:b w:val="0"/>
          <w:noProof/>
          <w:color w:val="auto"/>
          <w:sz w:val="20"/>
          <w:u w:val="none"/>
        </w:rPr>
        <w:t xml:space="preserve"> l’Allemagne (7,3 %).</w:t>
      </w:r>
    </w:p>
    <w:p w14:paraId="3BB13797" w14:textId="720A6CE3" w:rsidR="009F460F" w:rsidRDefault="00775A29" w:rsidP="00592748">
      <w:pPr>
        <w:pStyle w:val="Titre02"/>
        <w:spacing w:before="0" w:after="120"/>
      </w:pPr>
      <w:r w:rsidRPr="00023393">
        <w:rPr>
          <w:rStyle w:val="Lienhypertexte"/>
          <w:b w:val="0"/>
          <w:noProof/>
          <w:color w:val="auto"/>
          <w:sz w:val="20"/>
          <w:u w:val="none"/>
        </w:rPr>
        <w:t>Ils sont suivis par les produits alimentaires transformés</w:t>
      </w:r>
      <w:r w:rsidR="00881081">
        <w:rPr>
          <w:rStyle w:val="Lienhypertexte"/>
          <w:b w:val="0"/>
          <w:noProof/>
          <w:color w:val="auto"/>
          <w:sz w:val="20"/>
          <w:u w:val="none"/>
        </w:rPr>
        <w:t xml:space="preserve"> et </w:t>
      </w:r>
      <w:r w:rsidRPr="00023393">
        <w:rPr>
          <w:rStyle w:val="Lienhypertexte"/>
          <w:b w:val="0"/>
          <w:noProof/>
          <w:color w:val="auto"/>
          <w:sz w:val="20"/>
          <w:u w:val="none"/>
        </w:rPr>
        <w:t>boissons,</w:t>
      </w:r>
      <w:r w:rsidR="00881081">
        <w:rPr>
          <w:rStyle w:val="Lienhypertexte"/>
          <w:b w:val="0"/>
          <w:noProof/>
          <w:color w:val="auto"/>
          <w:sz w:val="20"/>
          <w:u w:val="none"/>
        </w:rPr>
        <w:t xml:space="preserve"> </w:t>
      </w:r>
      <w:r w:rsidRPr="00023393">
        <w:rPr>
          <w:rStyle w:val="Lienhypertexte"/>
          <w:b w:val="0"/>
          <w:noProof/>
          <w:color w:val="auto"/>
          <w:sz w:val="20"/>
          <w:u w:val="none"/>
        </w:rPr>
        <w:t xml:space="preserve">qui totalisent 1,97 Mds EUR, soit 10,5 % des exportations lettones. </w:t>
      </w:r>
      <w:r w:rsidR="009F460F" w:rsidRPr="009F460F">
        <w:rPr>
          <w:rStyle w:val="Lienhypertexte"/>
          <w:b w:val="0"/>
          <w:noProof/>
          <w:color w:val="auto"/>
          <w:sz w:val="20"/>
          <w:u w:val="none"/>
        </w:rPr>
        <w:t xml:space="preserve">La Lettonie exporte principalement vers la Russie 120 </w:t>
      </w:r>
      <w:r w:rsidR="00A64501">
        <w:rPr>
          <w:rStyle w:val="Lienhypertexte"/>
          <w:b w:val="0"/>
          <w:noProof/>
          <w:color w:val="auto"/>
          <w:sz w:val="20"/>
          <w:u w:val="none"/>
        </w:rPr>
        <w:t>M</w:t>
      </w:r>
      <w:r w:rsidR="009F460F" w:rsidRPr="009F460F">
        <w:rPr>
          <w:rStyle w:val="Lienhypertexte"/>
          <w:b w:val="0"/>
          <w:noProof/>
          <w:color w:val="auto"/>
          <w:sz w:val="20"/>
          <w:u w:val="none"/>
        </w:rPr>
        <w:t xml:space="preserve"> </w:t>
      </w:r>
      <w:r w:rsidR="00A64501">
        <w:rPr>
          <w:rStyle w:val="Lienhypertexte"/>
          <w:b w:val="0"/>
          <w:noProof/>
          <w:color w:val="auto"/>
          <w:sz w:val="20"/>
          <w:u w:val="none"/>
        </w:rPr>
        <w:t>EUR</w:t>
      </w:r>
      <w:r w:rsidR="009F460F" w:rsidRPr="009F460F">
        <w:rPr>
          <w:rStyle w:val="Lienhypertexte"/>
          <w:b w:val="0"/>
          <w:noProof/>
          <w:color w:val="auto"/>
          <w:sz w:val="20"/>
          <w:u w:val="none"/>
        </w:rPr>
        <w:t xml:space="preserve"> de vin mousseux et 2</w:t>
      </w:r>
      <w:r w:rsidR="001B4BB2">
        <w:rPr>
          <w:rStyle w:val="Lienhypertexte"/>
          <w:b w:val="0"/>
          <w:noProof/>
          <w:color w:val="auto"/>
          <w:sz w:val="20"/>
          <w:u w:val="none"/>
        </w:rPr>
        <w:t>60</w:t>
      </w:r>
      <w:r w:rsidR="009F460F" w:rsidRPr="009F460F">
        <w:rPr>
          <w:rStyle w:val="Lienhypertexte"/>
          <w:b w:val="0"/>
          <w:noProof/>
          <w:color w:val="auto"/>
          <w:sz w:val="20"/>
          <w:u w:val="none"/>
        </w:rPr>
        <w:t xml:space="preserve"> </w:t>
      </w:r>
      <w:r w:rsidR="00A64501">
        <w:rPr>
          <w:rStyle w:val="Lienhypertexte"/>
          <w:b w:val="0"/>
          <w:noProof/>
          <w:color w:val="auto"/>
          <w:sz w:val="20"/>
          <w:u w:val="none"/>
        </w:rPr>
        <w:t>M</w:t>
      </w:r>
      <w:r w:rsidR="009F460F" w:rsidRPr="009F460F">
        <w:rPr>
          <w:rStyle w:val="Lienhypertexte"/>
          <w:b w:val="0"/>
          <w:noProof/>
          <w:color w:val="auto"/>
          <w:sz w:val="20"/>
          <w:u w:val="none"/>
        </w:rPr>
        <w:t xml:space="preserve"> </w:t>
      </w:r>
      <w:r w:rsidR="00A64501">
        <w:rPr>
          <w:rStyle w:val="Lienhypertexte"/>
          <w:b w:val="0"/>
          <w:noProof/>
          <w:color w:val="auto"/>
          <w:sz w:val="20"/>
          <w:u w:val="none"/>
        </w:rPr>
        <w:t>EUR</w:t>
      </w:r>
      <w:r w:rsidR="009F460F" w:rsidRPr="009F460F">
        <w:rPr>
          <w:rStyle w:val="Lienhypertexte"/>
          <w:b w:val="0"/>
          <w:noProof/>
          <w:color w:val="auto"/>
          <w:sz w:val="20"/>
          <w:u w:val="none"/>
        </w:rPr>
        <w:t xml:space="preserve"> de whisky.</w:t>
      </w:r>
      <w:r w:rsidR="009F460F">
        <w:t xml:space="preserve"> </w:t>
      </w:r>
    </w:p>
    <w:p w14:paraId="73BAE322" w14:textId="3BE220FC" w:rsidR="00775A29" w:rsidRPr="00023393" w:rsidRDefault="00775A29" w:rsidP="00592748">
      <w:pPr>
        <w:pStyle w:val="Titre02"/>
        <w:spacing w:before="0" w:after="120"/>
        <w:rPr>
          <w:rStyle w:val="Lienhypertexte"/>
          <w:b w:val="0"/>
          <w:noProof/>
          <w:color w:val="auto"/>
          <w:sz w:val="20"/>
          <w:u w:val="none"/>
        </w:rPr>
      </w:pPr>
      <w:r w:rsidRPr="00023393">
        <w:rPr>
          <w:rStyle w:val="Lienhypertexte"/>
          <w:b w:val="0"/>
          <w:noProof/>
          <w:color w:val="auto"/>
          <w:sz w:val="20"/>
          <w:u w:val="none"/>
        </w:rPr>
        <w:t>Viennent ensuite les produits chimiques et dérivés, représentant 1,69 Mds EUR (9 % des exportations), ainsi que les produits végétaux, qui atteignent 1,31 Mds EUR (7 % des exportations).</w:t>
      </w:r>
      <w:r w:rsidR="00A64501">
        <w:rPr>
          <w:rStyle w:val="Lienhypertexte"/>
          <w:b w:val="0"/>
          <w:noProof/>
          <w:color w:val="auto"/>
          <w:sz w:val="20"/>
          <w:u w:val="none"/>
        </w:rPr>
        <w:t xml:space="preserve"> </w:t>
      </w:r>
    </w:p>
    <w:p w14:paraId="5C0DA2A1" w14:textId="2EAC20B7" w:rsidR="00500C5B" w:rsidRPr="00CB67BF" w:rsidRDefault="00CB67BF">
      <w:pPr>
        <w:pStyle w:val="Titre02"/>
        <w:spacing w:before="0" w:after="120"/>
      </w:pPr>
      <w:r w:rsidRPr="00CB67BF">
        <w:t xml:space="preserve">Une réduction des importations en volume et en valeur, </w:t>
      </w:r>
      <w:r>
        <w:t xml:space="preserve">notamment </w:t>
      </w:r>
      <w:r w:rsidRPr="00CB67BF">
        <w:t>dans les secteurs des machines et appareils électriques, des véhicules de transport et des produits minéraux</w:t>
      </w:r>
    </w:p>
    <w:p w14:paraId="680E957C" w14:textId="0260B86A" w:rsidR="00A15AA3" w:rsidRPr="002F1054" w:rsidRDefault="00A15AA3" w:rsidP="00592748">
      <w:pPr>
        <w:spacing w:after="120"/>
        <w:ind w:left="-284"/>
        <w:jc w:val="both"/>
        <w:rPr>
          <w:rFonts w:ascii="Segoe UI" w:hAnsi="Segoe UI" w:cs="Segoe UI"/>
          <w:b/>
          <w:bCs/>
          <w:sz w:val="20"/>
          <w:szCs w:val="20"/>
        </w:rPr>
      </w:pPr>
      <w:r w:rsidRPr="002F1054">
        <w:rPr>
          <w:rFonts w:ascii="Segoe UI" w:hAnsi="Segoe UI" w:cs="Segoe UI"/>
          <w:b/>
          <w:bCs/>
          <w:sz w:val="20"/>
          <w:szCs w:val="20"/>
        </w:rPr>
        <w:t xml:space="preserve">En 2024, les importations lettones </w:t>
      </w:r>
      <w:r w:rsidR="00500C5B" w:rsidRPr="002F1054">
        <w:rPr>
          <w:rFonts w:ascii="Segoe UI" w:hAnsi="Segoe UI" w:cs="Segoe UI"/>
          <w:b/>
          <w:bCs/>
          <w:sz w:val="20"/>
          <w:szCs w:val="20"/>
        </w:rPr>
        <w:t xml:space="preserve">se sont élevées à </w:t>
      </w:r>
      <w:r w:rsidRPr="002F1054">
        <w:rPr>
          <w:rFonts w:ascii="Segoe UI" w:hAnsi="Segoe UI" w:cs="Segoe UI"/>
          <w:b/>
          <w:bCs/>
          <w:sz w:val="20"/>
          <w:szCs w:val="20"/>
        </w:rPr>
        <w:t>21,7 Mds EUR, contre 23,4 Mds EUR en 2023</w:t>
      </w:r>
      <w:r w:rsidR="002F1054">
        <w:rPr>
          <w:rFonts w:ascii="Segoe UI" w:hAnsi="Segoe UI" w:cs="Segoe UI"/>
          <w:b/>
          <w:bCs/>
          <w:sz w:val="20"/>
          <w:szCs w:val="20"/>
        </w:rPr>
        <w:t>, soit une diminution de 7,3%</w:t>
      </w:r>
      <w:r w:rsidRPr="002F1054">
        <w:rPr>
          <w:rFonts w:ascii="Segoe UI" w:hAnsi="Segoe UI" w:cs="Segoe UI"/>
          <w:b/>
          <w:bCs/>
          <w:sz w:val="20"/>
          <w:szCs w:val="20"/>
        </w:rPr>
        <w:t>.</w:t>
      </w:r>
    </w:p>
    <w:p w14:paraId="7BACC947" w14:textId="305376B2" w:rsidR="00A15AA3" w:rsidRPr="00A64501" w:rsidRDefault="00A15AA3" w:rsidP="00592748">
      <w:pPr>
        <w:spacing w:after="120"/>
        <w:ind w:left="-284"/>
        <w:jc w:val="both"/>
        <w:rPr>
          <w:rFonts w:ascii="Segoe UI" w:hAnsi="Segoe UI" w:cs="Segoe UI"/>
          <w:sz w:val="20"/>
          <w:szCs w:val="20"/>
        </w:rPr>
      </w:pPr>
      <w:r w:rsidRPr="00023393">
        <w:rPr>
          <w:rFonts w:ascii="Segoe UI" w:hAnsi="Segoe UI" w:cs="Segoe UI"/>
          <w:sz w:val="20"/>
          <w:szCs w:val="20"/>
        </w:rPr>
        <w:t>Les machines, appareils et équipements électriques constituent le premier secteur d’importation, avec une valeur de 4,0 Mds EUR, soit 18,55 % du total</w:t>
      </w:r>
      <w:r w:rsidR="001352C7" w:rsidRPr="00023393">
        <w:rPr>
          <w:rFonts w:ascii="Segoe UI" w:hAnsi="Segoe UI" w:cs="Segoe UI"/>
          <w:sz w:val="20"/>
          <w:szCs w:val="20"/>
        </w:rPr>
        <w:t xml:space="preserve"> (4,5 Mds EUR en 2023, soit une réduction de 10,</w:t>
      </w:r>
      <w:r w:rsidR="00AB6371" w:rsidRPr="00023393">
        <w:rPr>
          <w:rFonts w:ascii="Segoe UI" w:hAnsi="Segoe UI" w:cs="Segoe UI"/>
          <w:sz w:val="20"/>
          <w:szCs w:val="20"/>
        </w:rPr>
        <w:t xml:space="preserve">4 </w:t>
      </w:r>
      <w:r w:rsidR="001352C7" w:rsidRPr="00023393">
        <w:rPr>
          <w:rFonts w:ascii="Segoe UI" w:hAnsi="Segoe UI" w:cs="Segoe UI"/>
          <w:sz w:val="20"/>
          <w:szCs w:val="20"/>
        </w:rPr>
        <w:t>%</w:t>
      </w:r>
      <w:r w:rsidR="00AB6371" w:rsidRPr="00023393">
        <w:rPr>
          <w:rFonts w:ascii="Segoe UI" w:hAnsi="Segoe UI" w:cs="Segoe UI"/>
          <w:sz w:val="20"/>
          <w:szCs w:val="20"/>
        </w:rPr>
        <w:t xml:space="preserve"> en valeur</w:t>
      </w:r>
      <w:r w:rsidR="001352C7" w:rsidRPr="00023393">
        <w:rPr>
          <w:rFonts w:ascii="Segoe UI" w:hAnsi="Segoe UI" w:cs="Segoe UI"/>
          <w:sz w:val="20"/>
          <w:szCs w:val="20"/>
        </w:rPr>
        <w:t>)</w:t>
      </w:r>
      <w:r w:rsidRPr="00023393">
        <w:rPr>
          <w:rFonts w:ascii="Segoe UI" w:hAnsi="Segoe UI" w:cs="Segoe UI"/>
          <w:sz w:val="20"/>
          <w:szCs w:val="20"/>
        </w:rPr>
        <w:t xml:space="preserve">. Ces produits </w:t>
      </w:r>
      <w:r w:rsidR="00500C5B" w:rsidRPr="00023393">
        <w:rPr>
          <w:rFonts w:ascii="Segoe UI" w:hAnsi="Segoe UI" w:cs="Segoe UI"/>
          <w:sz w:val="20"/>
          <w:szCs w:val="20"/>
        </w:rPr>
        <w:t>proviennent</w:t>
      </w:r>
      <w:r w:rsidRPr="00023393">
        <w:rPr>
          <w:rFonts w:ascii="Segoe UI" w:hAnsi="Segoe UI" w:cs="Segoe UI"/>
          <w:sz w:val="20"/>
          <w:szCs w:val="20"/>
        </w:rPr>
        <w:t xml:space="preserve"> majoritairement de Lituanie (15,8 %</w:t>
      </w:r>
      <w:r w:rsidR="003D7244" w:rsidRPr="00023393">
        <w:rPr>
          <w:rFonts w:ascii="Segoe UI" w:hAnsi="Segoe UI" w:cs="Segoe UI"/>
          <w:sz w:val="20"/>
          <w:szCs w:val="20"/>
        </w:rPr>
        <w:t>, contre 14,4% en 2023</w:t>
      </w:r>
      <w:r w:rsidRPr="00023393">
        <w:rPr>
          <w:rFonts w:ascii="Segoe UI" w:hAnsi="Segoe UI" w:cs="Segoe UI"/>
          <w:sz w:val="20"/>
          <w:szCs w:val="20"/>
        </w:rPr>
        <w:t>), de Chine (10,8 %</w:t>
      </w:r>
      <w:r w:rsidR="003D7244" w:rsidRPr="00023393">
        <w:rPr>
          <w:rFonts w:ascii="Segoe UI" w:hAnsi="Segoe UI" w:cs="Segoe UI"/>
          <w:sz w:val="20"/>
          <w:szCs w:val="20"/>
        </w:rPr>
        <w:t>, contre 12,4% en 2023</w:t>
      </w:r>
      <w:r w:rsidRPr="00023393">
        <w:rPr>
          <w:rFonts w:ascii="Segoe UI" w:hAnsi="Segoe UI" w:cs="Segoe UI"/>
          <w:sz w:val="20"/>
          <w:szCs w:val="20"/>
        </w:rPr>
        <w:t>)</w:t>
      </w:r>
      <w:r w:rsidR="00F16B34">
        <w:rPr>
          <w:rFonts w:ascii="Segoe UI" w:hAnsi="Segoe UI" w:cs="Segoe UI"/>
          <w:sz w:val="20"/>
          <w:szCs w:val="20"/>
        </w:rPr>
        <w:t xml:space="preserve">, </w:t>
      </w:r>
      <w:r w:rsidR="00C11BAD" w:rsidRPr="00830648">
        <w:rPr>
          <w:rFonts w:ascii="Segoe UI" w:hAnsi="Segoe UI" w:cs="Segoe UI"/>
          <w:sz w:val="20"/>
          <w:szCs w:val="20"/>
        </w:rPr>
        <w:t>notamment pour l</w:t>
      </w:r>
      <w:r w:rsidR="00290626">
        <w:rPr>
          <w:rFonts w:ascii="Segoe UI" w:hAnsi="Segoe UI" w:cs="Segoe UI"/>
          <w:sz w:val="20"/>
          <w:szCs w:val="20"/>
        </w:rPr>
        <w:t xml:space="preserve">es équipements de télécommunications </w:t>
      </w:r>
      <w:r w:rsidR="00C11BAD" w:rsidRPr="00830648">
        <w:rPr>
          <w:rFonts w:ascii="Segoe UI" w:hAnsi="Segoe UI" w:cs="Segoe UI"/>
          <w:sz w:val="20"/>
          <w:szCs w:val="20"/>
        </w:rPr>
        <w:t>(</w:t>
      </w:r>
      <w:r w:rsidR="00290626">
        <w:rPr>
          <w:rFonts w:ascii="Segoe UI" w:hAnsi="Segoe UI" w:cs="Segoe UI"/>
          <w:sz w:val="20"/>
          <w:szCs w:val="20"/>
        </w:rPr>
        <w:t>60</w:t>
      </w:r>
      <w:r w:rsidR="00C11BAD" w:rsidRPr="00830648">
        <w:rPr>
          <w:rFonts w:ascii="Segoe UI" w:hAnsi="Segoe UI" w:cs="Segoe UI"/>
          <w:sz w:val="20"/>
          <w:szCs w:val="20"/>
        </w:rPr>
        <w:t xml:space="preserve"> </w:t>
      </w:r>
      <w:r w:rsidR="00A64501">
        <w:rPr>
          <w:rFonts w:ascii="Segoe UI" w:hAnsi="Segoe UI" w:cs="Segoe UI"/>
          <w:sz w:val="20"/>
          <w:szCs w:val="20"/>
        </w:rPr>
        <w:t>M EUR</w:t>
      </w:r>
      <w:r w:rsidR="00C11BAD" w:rsidRPr="00830648">
        <w:rPr>
          <w:rFonts w:ascii="Segoe UI" w:hAnsi="Segoe UI" w:cs="Segoe UI"/>
          <w:sz w:val="20"/>
          <w:szCs w:val="20"/>
        </w:rPr>
        <w:t>)</w:t>
      </w:r>
      <w:r w:rsidR="006F5ECD">
        <w:rPr>
          <w:rFonts w:ascii="Segoe UI" w:hAnsi="Segoe UI" w:cs="Segoe UI"/>
          <w:sz w:val="20"/>
          <w:szCs w:val="20"/>
        </w:rPr>
        <w:t xml:space="preserve">, </w:t>
      </w:r>
      <w:r w:rsidR="00A64501" w:rsidRPr="00A64501">
        <w:rPr>
          <w:rFonts w:ascii="Segoe UI" w:hAnsi="Segoe UI" w:cs="Segoe UI"/>
          <w:sz w:val="20"/>
          <w:szCs w:val="20"/>
        </w:rPr>
        <w:t xml:space="preserve">les modules photovoltaïques (20 M EUR) </w:t>
      </w:r>
      <w:r w:rsidRPr="00A64501">
        <w:rPr>
          <w:rFonts w:ascii="Segoe UI" w:hAnsi="Segoe UI" w:cs="Segoe UI"/>
          <w:sz w:val="20"/>
          <w:szCs w:val="20"/>
        </w:rPr>
        <w:t>et de Pologne (9,4 %</w:t>
      </w:r>
      <w:r w:rsidR="0040105A" w:rsidRPr="00A64501">
        <w:rPr>
          <w:rFonts w:ascii="Segoe UI" w:hAnsi="Segoe UI" w:cs="Segoe UI"/>
          <w:sz w:val="20"/>
          <w:szCs w:val="20"/>
        </w:rPr>
        <w:t>, contre 10% en 2023</w:t>
      </w:r>
      <w:r w:rsidRPr="00A64501">
        <w:rPr>
          <w:rFonts w:ascii="Segoe UI" w:hAnsi="Segoe UI" w:cs="Segoe UI"/>
          <w:sz w:val="20"/>
          <w:szCs w:val="20"/>
        </w:rPr>
        <w:t>).</w:t>
      </w:r>
    </w:p>
    <w:p w14:paraId="3067E26D" w14:textId="77777777" w:rsidR="00C62094" w:rsidRDefault="00881081" w:rsidP="00592748">
      <w:pPr>
        <w:spacing w:after="120"/>
        <w:ind w:left="-284"/>
        <w:jc w:val="both"/>
        <w:rPr>
          <w:rFonts w:ascii="Segoe UI" w:hAnsi="Segoe UI" w:cs="Segoe UI"/>
          <w:sz w:val="20"/>
          <w:szCs w:val="20"/>
        </w:rPr>
      </w:pPr>
      <w:r w:rsidRPr="00C62094">
        <w:rPr>
          <w:rFonts w:ascii="Segoe UI" w:hAnsi="Segoe UI" w:cs="Segoe UI"/>
          <w:b/>
          <w:bCs/>
          <w:sz w:val="20"/>
          <w:szCs w:val="20"/>
        </w:rPr>
        <w:t>Désormais en</w:t>
      </w:r>
      <w:r w:rsidR="00A15AA3" w:rsidRPr="00C62094">
        <w:rPr>
          <w:rFonts w:ascii="Segoe UI" w:hAnsi="Segoe UI" w:cs="Segoe UI"/>
          <w:b/>
          <w:bCs/>
          <w:sz w:val="20"/>
          <w:szCs w:val="20"/>
        </w:rPr>
        <w:t xml:space="preserve"> deuxième position, les produits chimiques et articles des industries connexes </w:t>
      </w:r>
      <w:r w:rsidR="00500C5B" w:rsidRPr="00C62094">
        <w:rPr>
          <w:rFonts w:ascii="Segoe UI" w:hAnsi="Segoe UI" w:cs="Segoe UI"/>
          <w:b/>
          <w:bCs/>
          <w:sz w:val="20"/>
          <w:szCs w:val="20"/>
        </w:rPr>
        <w:t>totalisent</w:t>
      </w:r>
      <w:r w:rsidR="00A15AA3" w:rsidRPr="00C62094">
        <w:rPr>
          <w:rFonts w:ascii="Segoe UI" w:hAnsi="Segoe UI" w:cs="Segoe UI"/>
          <w:b/>
          <w:bCs/>
          <w:sz w:val="20"/>
          <w:szCs w:val="20"/>
        </w:rPr>
        <w:t xml:space="preserve"> 2,5 Mds EUR, soit 11,43 % des importations</w:t>
      </w:r>
      <w:r>
        <w:rPr>
          <w:rFonts w:ascii="Segoe UI" w:hAnsi="Segoe UI" w:cs="Segoe UI"/>
          <w:sz w:val="20"/>
          <w:szCs w:val="20"/>
        </w:rPr>
        <w:t xml:space="preserve"> (contre 2,4 Mds en 2023</w:t>
      </w:r>
      <w:r w:rsidR="00C62094">
        <w:rPr>
          <w:rFonts w:ascii="Segoe UI" w:hAnsi="Segoe UI" w:cs="Segoe UI"/>
          <w:sz w:val="20"/>
          <w:szCs w:val="20"/>
        </w:rPr>
        <w:t>, avec une augmentation de 9,3% en volume</w:t>
      </w:r>
      <w:r>
        <w:rPr>
          <w:rFonts w:ascii="Segoe UI" w:hAnsi="Segoe UI" w:cs="Segoe UI"/>
          <w:sz w:val="20"/>
          <w:szCs w:val="20"/>
        </w:rPr>
        <w:t>)</w:t>
      </w:r>
      <w:r w:rsidR="00AB6371" w:rsidRPr="00023393">
        <w:rPr>
          <w:rFonts w:ascii="Segoe UI" w:hAnsi="Segoe UI" w:cs="Segoe UI"/>
          <w:sz w:val="20"/>
          <w:szCs w:val="20"/>
        </w:rPr>
        <w:t xml:space="preserve">. </w:t>
      </w:r>
    </w:p>
    <w:p w14:paraId="37E46DE3" w14:textId="2723ACCF" w:rsidR="00B27EC7" w:rsidRPr="00023393" w:rsidRDefault="00CB67BF" w:rsidP="00592748">
      <w:pPr>
        <w:spacing w:after="120"/>
        <w:ind w:left="-284"/>
        <w:jc w:val="both"/>
        <w:rPr>
          <w:rFonts w:ascii="Segoe UI" w:hAnsi="Segoe UI" w:cs="Segoe UI"/>
          <w:sz w:val="20"/>
          <w:szCs w:val="20"/>
        </w:rPr>
      </w:pPr>
      <w:r w:rsidRPr="00C62094">
        <w:rPr>
          <w:rFonts w:ascii="Segoe UI" w:hAnsi="Segoe UI" w:cs="Segoe UI"/>
          <w:b/>
          <w:bCs/>
          <w:sz w:val="20"/>
          <w:szCs w:val="20"/>
        </w:rPr>
        <w:t>Les importations de</w:t>
      </w:r>
      <w:r w:rsidR="00A15AA3" w:rsidRPr="00C62094">
        <w:rPr>
          <w:rFonts w:ascii="Segoe UI" w:hAnsi="Segoe UI" w:cs="Segoe UI"/>
          <w:b/>
          <w:bCs/>
          <w:sz w:val="20"/>
          <w:szCs w:val="20"/>
        </w:rPr>
        <w:t xml:space="preserve"> produits minéraux </w:t>
      </w:r>
      <w:r w:rsidRPr="00C62094">
        <w:rPr>
          <w:rFonts w:ascii="Segoe UI" w:hAnsi="Segoe UI" w:cs="Segoe UI"/>
          <w:b/>
          <w:bCs/>
          <w:sz w:val="20"/>
          <w:szCs w:val="20"/>
        </w:rPr>
        <w:t>ont diminué</w:t>
      </w:r>
      <w:r w:rsidR="00A15AA3" w:rsidRPr="00C62094">
        <w:rPr>
          <w:rFonts w:ascii="Segoe UI" w:hAnsi="Segoe UI" w:cs="Segoe UI"/>
          <w:b/>
          <w:bCs/>
          <w:sz w:val="20"/>
          <w:szCs w:val="20"/>
        </w:rPr>
        <w:t>, atteignant 2,5 Mds EUR, soit 11,39 % d</w:t>
      </w:r>
      <w:r w:rsidR="00D41568" w:rsidRPr="00C62094">
        <w:rPr>
          <w:rFonts w:ascii="Segoe UI" w:hAnsi="Segoe UI" w:cs="Segoe UI"/>
          <w:b/>
          <w:bCs/>
          <w:sz w:val="20"/>
          <w:szCs w:val="20"/>
        </w:rPr>
        <w:t xml:space="preserve">e la valeur totale, mais </w:t>
      </w:r>
      <w:r w:rsidR="00B27EC7" w:rsidRPr="00C62094">
        <w:rPr>
          <w:rFonts w:ascii="Segoe UI" w:hAnsi="Segoe UI" w:cs="Segoe UI"/>
          <w:b/>
          <w:bCs/>
          <w:sz w:val="20"/>
          <w:szCs w:val="20"/>
        </w:rPr>
        <w:t xml:space="preserve">représentent </w:t>
      </w:r>
      <w:r w:rsidR="00D41568" w:rsidRPr="00C62094">
        <w:rPr>
          <w:rFonts w:ascii="Segoe UI" w:hAnsi="Segoe UI" w:cs="Segoe UI"/>
          <w:b/>
          <w:bCs/>
          <w:sz w:val="20"/>
          <w:szCs w:val="20"/>
        </w:rPr>
        <w:t>32,13% en volume des importations</w:t>
      </w:r>
      <w:r w:rsidRPr="00023393">
        <w:rPr>
          <w:rFonts w:ascii="Segoe UI" w:hAnsi="Segoe UI" w:cs="Segoe UI"/>
          <w:sz w:val="20"/>
          <w:szCs w:val="20"/>
        </w:rPr>
        <w:t xml:space="preserve"> (2,8 Mds EUR en 2023, soit une réduction de 12,1 % en valeur).</w:t>
      </w:r>
      <w:r w:rsidR="00A15AA3" w:rsidRPr="00023393">
        <w:rPr>
          <w:rFonts w:ascii="Segoe UI" w:hAnsi="Segoe UI" w:cs="Segoe UI"/>
          <w:sz w:val="20"/>
          <w:szCs w:val="20"/>
        </w:rPr>
        <w:t xml:space="preserve"> </w:t>
      </w:r>
      <w:r w:rsidR="00B27EC7" w:rsidRPr="00023393">
        <w:rPr>
          <w:rFonts w:ascii="Segoe UI" w:hAnsi="Segoe UI" w:cs="Segoe UI"/>
          <w:sz w:val="20"/>
          <w:szCs w:val="20"/>
        </w:rPr>
        <w:t>La Lituanie est le principal fournisseur, notamment pour le diesel, avec un volume total de 51</w:t>
      </w:r>
      <w:r w:rsidR="001B4BB2">
        <w:rPr>
          <w:rFonts w:ascii="Segoe UI" w:hAnsi="Segoe UI" w:cs="Segoe UI"/>
          <w:sz w:val="20"/>
          <w:szCs w:val="20"/>
        </w:rPr>
        <w:t>8</w:t>
      </w:r>
      <w:r w:rsidR="00B27EC7" w:rsidRPr="00023393">
        <w:rPr>
          <w:rFonts w:ascii="Segoe UI" w:hAnsi="Segoe UI" w:cs="Segoe UI"/>
          <w:sz w:val="20"/>
          <w:szCs w:val="20"/>
        </w:rPr>
        <w:t xml:space="preserve"> millions de litres. La Lettonie s’</w:t>
      </w:r>
      <w:r w:rsidR="00C62094">
        <w:rPr>
          <w:rFonts w:ascii="Segoe UI" w:hAnsi="Segoe UI" w:cs="Segoe UI"/>
          <w:sz w:val="20"/>
          <w:szCs w:val="20"/>
        </w:rPr>
        <w:t xml:space="preserve">est </w:t>
      </w:r>
      <w:r w:rsidR="00C62094" w:rsidRPr="00023393">
        <w:rPr>
          <w:rFonts w:ascii="Segoe UI" w:hAnsi="Segoe UI" w:cs="Segoe UI"/>
          <w:sz w:val="20"/>
          <w:szCs w:val="20"/>
        </w:rPr>
        <w:t xml:space="preserve">également </w:t>
      </w:r>
      <w:r w:rsidR="00B27EC7" w:rsidRPr="00023393">
        <w:rPr>
          <w:rFonts w:ascii="Segoe UI" w:hAnsi="Segoe UI" w:cs="Segoe UI"/>
          <w:sz w:val="20"/>
          <w:szCs w:val="20"/>
        </w:rPr>
        <w:t>approvisionn</w:t>
      </w:r>
      <w:r w:rsidR="00C62094">
        <w:rPr>
          <w:rFonts w:ascii="Segoe UI" w:hAnsi="Segoe UI" w:cs="Segoe UI"/>
          <w:sz w:val="20"/>
          <w:szCs w:val="20"/>
        </w:rPr>
        <w:t>ée</w:t>
      </w:r>
      <w:r w:rsidR="00B27EC7" w:rsidRPr="00023393">
        <w:rPr>
          <w:rFonts w:ascii="Segoe UI" w:hAnsi="Segoe UI" w:cs="Segoe UI"/>
          <w:sz w:val="20"/>
          <w:szCs w:val="20"/>
        </w:rPr>
        <w:t xml:space="preserve"> en minéraux en Finlande (21,2 %</w:t>
      </w:r>
      <w:r w:rsidR="003D7244" w:rsidRPr="00023393">
        <w:rPr>
          <w:rFonts w:ascii="Segoe UI" w:hAnsi="Segoe UI" w:cs="Segoe UI"/>
          <w:sz w:val="20"/>
          <w:szCs w:val="20"/>
        </w:rPr>
        <w:t>, contre 18,8% en 2023</w:t>
      </w:r>
      <w:r w:rsidR="00B27EC7" w:rsidRPr="00023393">
        <w:rPr>
          <w:rFonts w:ascii="Segoe UI" w:hAnsi="Segoe UI" w:cs="Segoe UI"/>
          <w:sz w:val="20"/>
          <w:szCs w:val="20"/>
        </w:rPr>
        <w:t>) et en Russie</w:t>
      </w:r>
      <w:r w:rsidR="007E7CFB">
        <w:rPr>
          <w:rFonts w:ascii="Segoe UI" w:hAnsi="Segoe UI" w:cs="Segoe UI"/>
          <w:sz w:val="20"/>
          <w:szCs w:val="20"/>
        </w:rPr>
        <w:t xml:space="preserve"> pour le gaz de pétrole et autres hydrocarbures gazeux</w:t>
      </w:r>
      <w:r w:rsidR="00B27EC7" w:rsidRPr="00023393">
        <w:rPr>
          <w:rFonts w:ascii="Segoe UI" w:hAnsi="Segoe UI" w:cs="Segoe UI"/>
          <w:sz w:val="20"/>
          <w:szCs w:val="20"/>
        </w:rPr>
        <w:t xml:space="preserve"> (7,2 %).</w:t>
      </w:r>
    </w:p>
    <w:p w14:paraId="5005D30D" w14:textId="77777777" w:rsidR="007E7CFB" w:rsidRDefault="00B27EC7" w:rsidP="00592748">
      <w:pPr>
        <w:spacing w:after="120"/>
        <w:ind w:left="-284"/>
        <w:jc w:val="both"/>
        <w:rPr>
          <w:rFonts w:ascii="Segoe UI" w:hAnsi="Segoe UI" w:cs="Segoe UI"/>
          <w:sz w:val="20"/>
          <w:szCs w:val="20"/>
        </w:rPr>
      </w:pPr>
      <w:r w:rsidRPr="00023393">
        <w:rPr>
          <w:rFonts w:ascii="Segoe UI" w:hAnsi="Segoe UI" w:cs="Segoe UI"/>
          <w:sz w:val="20"/>
          <w:szCs w:val="20"/>
        </w:rPr>
        <w:t xml:space="preserve">Les produits alimentaires transformés, </w:t>
      </w:r>
      <w:r w:rsidR="00881081">
        <w:rPr>
          <w:rFonts w:ascii="Segoe UI" w:hAnsi="Segoe UI" w:cs="Segoe UI"/>
          <w:sz w:val="20"/>
          <w:szCs w:val="20"/>
        </w:rPr>
        <w:t xml:space="preserve">et </w:t>
      </w:r>
      <w:r w:rsidRPr="00023393">
        <w:rPr>
          <w:rFonts w:ascii="Segoe UI" w:hAnsi="Segoe UI" w:cs="Segoe UI"/>
          <w:sz w:val="20"/>
          <w:szCs w:val="20"/>
        </w:rPr>
        <w:t xml:space="preserve">boissons suivent, avec 2,2 Mds EUR, soit 10,28 % des importations. </w:t>
      </w:r>
    </w:p>
    <w:p w14:paraId="670BC77D" w14:textId="0EDAE6E2" w:rsidR="00B27EC7" w:rsidRPr="00023393" w:rsidRDefault="00B27EC7" w:rsidP="00592748">
      <w:pPr>
        <w:spacing w:after="120"/>
        <w:ind w:left="-284"/>
        <w:jc w:val="both"/>
        <w:rPr>
          <w:rFonts w:ascii="Segoe UI" w:hAnsi="Segoe UI" w:cs="Segoe UI"/>
          <w:sz w:val="20"/>
          <w:szCs w:val="20"/>
        </w:rPr>
      </w:pPr>
      <w:r w:rsidRPr="007E7CFB">
        <w:rPr>
          <w:rFonts w:ascii="Segoe UI" w:hAnsi="Segoe UI" w:cs="Segoe UI"/>
          <w:b/>
          <w:bCs/>
          <w:sz w:val="20"/>
          <w:szCs w:val="20"/>
        </w:rPr>
        <w:t xml:space="preserve">Les </w:t>
      </w:r>
      <w:r w:rsidR="00AB6371" w:rsidRPr="007E7CFB">
        <w:rPr>
          <w:rFonts w:ascii="Segoe UI" w:hAnsi="Segoe UI" w:cs="Segoe UI"/>
          <w:b/>
          <w:bCs/>
          <w:sz w:val="20"/>
          <w:szCs w:val="20"/>
        </w:rPr>
        <w:t xml:space="preserve">importations de </w:t>
      </w:r>
      <w:r w:rsidRPr="007E7CFB">
        <w:rPr>
          <w:rFonts w:ascii="Segoe UI" w:hAnsi="Segoe UI" w:cs="Segoe UI"/>
          <w:b/>
          <w:bCs/>
          <w:sz w:val="20"/>
          <w:szCs w:val="20"/>
        </w:rPr>
        <w:t>véhicules de transport</w:t>
      </w:r>
      <w:r w:rsidR="00CB67BF" w:rsidRPr="007E7CFB">
        <w:rPr>
          <w:rFonts w:ascii="Segoe UI" w:hAnsi="Segoe UI" w:cs="Segoe UI"/>
          <w:b/>
          <w:bCs/>
          <w:sz w:val="20"/>
          <w:szCs w:val="20"/>
        </w:rPr>
        <w:t>, second poste d’importation en 2023</w:t>
      </w:r>
      <w:r w:rsidR="00EF1A3D">
        <w:rPr>
          <w:rFonts w:ascii="Segoe UI" w:hAnsi="Segoe UI" w:cs="Segoe UI"/>
          <w:b/>
          <w:bCs/>
          <w:sz w:val="20"/>
          <w:szCs w:val="20"/>
        </w:rPr>
        <w:t>,</w:t>
      </w:r>
      <w:r w:rsidRPr="007E7CFB">
        <w:rPr>
          <w:rFonts w:ascii="Segoe UI" w:hAnsi="Segoe UI" w:cs="Segoe UI"/>
          <w:b/>
          <w:bCs/>
          <w:sz w:val="20"/>
          <w:szCs w:val="20"/>
        </w:rPr>
        <w:t xml:space="preserve"> </w:t>
      </w:r>
      <w:r w:rsidR="00AB6371" w:rsidRPr="007E7CFB">
        <w:rPr>
          <w:rFonts w:ascii="Segoe UI" w:hAnsi="Segoe UI" w:cs="Segoe UI"/>
          <w:b/>
          <w:bCs/>
          <w:sz w:val="20"/>
          <w:szCs w:val="20"/>
        </w:rPr>
        <w:t xml:space="preserve">ont </w:t>
      </w:r>
      <w:r w:rsidR="00487DC4">
        <w:rPr>
          <w:rFonts w:ascii="Segoe UI" w:hAnsi="Segoe UI" w:cs="Segoe UI"/>
          <w:b/>
          <w:bCs/>
          <w:sz w:val="20"/>
          <w:szCs w:val="20"/>
        </w:rPr>
        <w:t>fortement</w:t>
      </w:r>
      <w:r w:rsidR="00487DC4" w:rsidRPr="007E7CFB">
        <w:rPr>
          <w:rFonts w:ascii="Segoe UI" w:hAnsi="Segoe UI" w:cs="Segoe UI"/>
          <w:b/>
          <w:bCs/>
          <w:sz w:val="20"/>
          <w:szCs w:val="20"/>
        </w:rPr>
        <w:t xml:space="preserve"> </w:t>
      </w:r>
      <w:r w:rsidR="00AB6371" w:rsidRPr="007E7CFB">
        <w:rPr>
          <w:rFonts w:ascii="Segoe UI" w:hAnsi="Segoe UI" w:cs="Segoe UI"/>
          <w:b/>
          <w:bCs/>
          <w:sz w:val="20"/>
          <w:szCs w:val="20"/>
        </w:rPr>
        <w:t>diminué</w:t>
      </w:r>
      <w:r w:rsidRPr="007E7CFB">
        <w:rPr>
          <w:rFonts w:ascii="Segoe UI" w:hAnsi="Segoe UI" w:cs="Segoe UI"/>
          <w:b/>
          <w:bCs/>
          <w:sz w:val="20"/>
          <w:szCs w:val="20"/>
        </w:rPr>
        <w:t xml:space="preserve">, atteignant 2,2 Mds EUR </w:t>
      </w:r>
      <w:r w:rsidR="003D7244" w:rsidRPr="007E7CFB">
        <w:rPr>
          <w:rFonts w:ascii="Segoe UI" w:hAnsi="Segoe UI" w:cs="Segoe UI"/>
          <w:b/>
          <w:bCs/>
          <w:sz w:val="20"/>
          <w:szCs w:val="20"/>
        </w:rPr>
        <w:t xml:space="preserve">soit </w:t>
      </w:r>
      <w:r w:rsidRPr="007E7CFB">
        <w:rPr>
          <w:rFonts w:ascii="Segoe UI" w:hAnsi="Segoe UI" w:cs="Segoe UI"/>
          <w:b/>
          <w:bCs/>
          <w:sz w:val="20"/>
          <w:szCs w:val="20"/>
        </w:rPr>
        <w:t>10,15 % du total</w:t>
      </w:r>
      <w:r w:rsidR="00AB6371" w:rsidRPr="00023393">
        <w:rPr>
          <w:rFonts w:ascii="Segoe UI" w:hAnsi="Segoe UI" w:cs="Segoe UI"/>
          <w:sz w:val="20"/>
          <w:szCs w:val="20"/>
        </w:rPr>
        <w:t xml:space="preserve"> (3,1 Mds EUR en 2023, soit une réduction de 28,5 % en valeur)</w:t>
      </w:r>
      <w:r w:rsidRPr="00023393">
        <w:rPr>
          <w:rFonts w:ascii="Segoe UI" w:hAnsi="Segoe UI" w:cs="Segoe UI"/>
          <w:sz w:val="20"/>
          <w:szCs w:val="20"/>
        </w:rPr>
        <w:t xml:space="preserve">. Parmi eux, la Lettonie a notamment importé des voitures depuis l’Allemagne, pour un montant total de 452 </w:t>
      </w:r>
      <w:r w:rsidR="00A64501">
        <w:rPr>
          <w:rFonts w:ascii="Segoe UI" w:hAnsi="Segoe UI" w:cs="Segoe UI"/>
          <w:sz w:val="20"/>
          <w:szCs w:val="20"/>
        </w:rPr>
        <w:t>M</w:t>
      </w:r>
      <w:r w:rsidRPr="00023393">
        <w:rPr>
          <w:rFonts w:ascii="Segoe UI" w:hAnsi="Segoe UI" w:cs="Segoe UI"/>
          <w:sz w:val="20"/>
          <w:szCs w:val="20"/>
        </w:rPr>
        <w:t xml:space="preserve"> </w:t>
      </w:r>
      <w:r w:rsidR="00A64501">
        <w:rPr>
          <w:rFonts w:ascii="Segoe UI" w:hAnsi="Segoe UI" w:cs="Segoe UI"/>
          <w:sz w:val="20"/>
          <w:szCs w:val="20"/>
        </w:rPr>
        <w:t>EUR</w:t>
      </w:r>
      <w:r w:rsidR="005867B0">
        <w:rPr>
          <w:rFonts w:ascii="Segoe UI" w:hAnsi="Segoe UI" w:cs="Segoe UI"/>
          <w:sz w:val="20"/>
          <w:szCs w:val="20"/>
        </w:rPr>
        <w:t xml:space="preserve">, dont 51 </w:t>
      </w:r>
      <w:r w:rsidR="00A64501">
        <w:rPr>
          <w:rFonts w:ascii="Segoe UI" w:hAnsi="Segoe UI" w:cs="Segoe UI"/>
          <w:sz w:val="20"/>
          <w:szCs w:val="20"/>
        </w:rPr>
        <w:t>M</w:t>
      </w:r>
      <w:r w:rsidR="00A64501" w:rsidRPr="00023393">
        <w:rPr>
          <w:rFonts w:ascii="Segoe UI" w:hAnsi="Segoe UI" w:cs="Segoe UI"/>
          <w:sz w:val="20"/>
          <w:szCs w:val="20"/>
        </w:rPr>
        <w:t xml:space="preserve"> </w:t>
      </w:r>
      <w:r w:rsidR="00A64501">
        <w:rPr>
          <w:rFonts w:ascii="Segoe UI" w:hAnsi="Segoe UI" w:cs="Segoe UI"/>
          <w:sz w:val="20"/>
          <w:szCs w:val="20"/>
        </w:rPr>
        <w:t xml:space="preserve">EUR </w:t>
      </w:r>
      <w:r w:rsidR="005867B0">
        <w:rPr>
          <w:rFonts w:ascii="Segoe UI" w:hAnsi="Segoe UI" w:cs="Segoe UI"/>
          <w:sz w:val="20"/>
          <w:szCs w:val="20"/>
        </w:rPr>
        <w:t>pour des voitures électriques et hybrides</w:t>
      </w:r>
      <w:r w:rsidRPr="00023393">
        <w:rPr>
          <w:rFonts w:ascii="Segoe UI" w:hAnsi="Segoe UI" w:cs="Segoe UI"/>
          <w:sz w:val="20"/>
          <w:szCs w:val="20"/>
        </w:rPr>
        <w:t>.</w:t>
      </w:r>
    </w:p>
    <w:p w14:paraId="7FF3DF0D" w14:textId="6232DBA4" w:rsidR="00B27EC7" w:rsidRPr="00023393" w:rsidRDefault="00B27EC7" w:rsidP="00592748">
      <w:pPr>
        <w:spacing w:after="120"/>
        <w:ind w:left="-284"/>
        <w:jc w:val="both"/>
        <w:rPr>
          <w:rFonts w:ascii="Segoe UI" w:hAnsi="Segoe UI" w:cs="Segoe UI"/>
          <w:sz w:val="20"/>
          <w:szCs w:val="20"/>
        </w:rPr>
      </w:pPr>
      <w:r w:rsidRPr="00023393">
        <w:rPr>
          <w:rFonts w:ascii="Segoe UI" w:hAnsi="Segoe UI" w:cs="Segoe UI"/>
          <w:sz w:val="20"/>
          <w:szCs w:val="20"/>
        </w:rPr>
        <w:t>Dans le secteur agricole et alimentaire, la Lettonie s’est fournie en viande de volaille et de porc auprès de la Pologne, pour une valeur de 5</w:t>
      </w:r>
      <w:r w:rsidR="001B4BB2">
        <w:rPr>
          <w:rFonts w:ascii="Segoe UI" w:hAnsi="Segoe UI" w:cs="Segoe UI"/>
          <w:sz w:val="20"/>
          <w:szCs w:val="20"/>
        </w:rPr>
        <w:t>1</w:t>
      </w:r>
      <w:r w:rsidRPr="00023393">
        <w:rPr>
          <w:rFonts w:ascii="Segoe UI" w:hAnsi="Segoe UI" w:cs="Segoe UI"/>
          <w:sz w:val="20"/>
          <w:szCs w:val="20"/>
        </w:rPr>
        <w:t xml:space="preserve"> </w:t>
      </w:r>
      <w:r w:rsidR="00A64501">
        <w:rPr>
          <w:rFonts w:ascii="Segoe UI" w:hAnsi="Segoe UI" w:cs="Segoe UI"/>
          <w:sz w:val="20"/>
          <w:szCs w:val="20"/>
        </w:rPr>
        <w:t>M</w:t>
      </w:r>
      <w:r w:rsidR="00A64501" w:rsidRPr="00023393">
        <w:rPr>
          <w:rFonts w:ascii="Segoe UI" w:hAnsi="Segoe UI" w:cs="Segoe UI"/>
          <w:sz w:val="20"/>
          <w:szCs w:val="20"/>
        </w:rPr>
        <w:t xml:space="preserve"> </w:t>
      </w:r>
      <w:r w:rsidR="00A64501">
        <w:rPr>
          <w:rFonts w:ascii="Segoe UI" w:hAnsi="Segoe UI" w:cs="Segoe UI"/>
          <w:sz w:val="20"/>
          <w:szCs w:val="20"/>
        </w:rPr>
        <w:t>EUR</w:t>
      </w:r>
      <w:r w:rsidRPr="00023393">
        <w:rPr>
          <w:rFonts w:ascii="Segoe UI" w:hAnsi="Segoe UI" w:cs="Segoe UI"/>
          <w:sz w:val="20"/>
          <w:szCs w:val="20"/>
        </w:rPr>
        <w:t xml:space="preserve">. Par ailleurs, les importations de lait et de crème non sucrés en provenance d’Estonie ont atteint 68 </w:t>
      </w:r>
      <w:r w:rsidR="00A64501">
        <w:rPr>
          <w:rFonts w:ascii="Segoe UI" w:hAnsi="Segoe UI" w:cs="Segoe UI"/>
          <w:sz w:val="20"/>
          <w:szCs w:val="20"/>
        </w:rPr>
        <w:t>M</w:t>
      </w:r>
      <w:r w:rsidR="00A64501" w:rsidRPr="00023393">
        <w:rPr>
          <w:rFonts w:ascii="Segoe UI" w:hAnsi="Segoe UI" w:cs="Segoe UI"/>
          <w:sz w:val="20"/>
          <w:szCs w:val="20"/>
        </w:rPr>
        <w:t xml:space="preserve"> </w:t>
      </w:r>
      <w:r w:rsidR="00A64501">
        <w:rPr>
          <w:rFonts w:ascii="Segoe UI" w:hAnsi="Segoe UI" w:cs="Segoe UI"/>
          <w:sz w:val="20"/>
          <w:szCs w:val="20"/>
        </w:rPr>
        <w:t>EUR</w:t>
      </w:r>
      <w:r w:rsidRPr="00023393">
        <w:rPr>
          <w:rFonts w:ascii="Segoe UI" w:hAnsi="Segoe UI" w:cs="Segoe UI"/>
          <w:sz w:val="20"/>
          <w:szCs w:val="20"/>
        </w:rPr>
        <w:t>.</w:t>
      </w:r>
    </w:p>
    <w:p w14:paraId="54C54F82" w14:textId="54B18946" w:rsidR="00756A18" w:rsidRPr="003D6B68" w:rsidRDefault="00557E89" w:rsidP="003D6B68">
      <w:pPr>
        <w:ind w:left="-284" w:right="425"/>
        <w:jc w:val="center"/>
        <w:rPr>
          <w:rFonts w:ascii="Arial" w:hAnsi="Arial" w:cs="Arial"/>
          <w:b/>
          <w:bCs/>
          <w:color w:val="E4A503" w:themeColor="accent2" w:themeShade="BF"/>
          <w:sz w:val="28"/>
          <w:szCs w:val="28"/>
          <w:lang w:eastAsia="en-US"/>
        </w:rPr>
      </w:pPr>
      <w:r w:rsidRPr="00A0743B">
        <w:rPr>
          <w:rFonts w:ascii="Arial" w:hAnsi="Arial" w:cs="Arial"/>
          <w:b/>
          <w:bCs/>
          <w:color w:val="E4A503" w:themeColor="accent2" w:themeShade="BF"/>
          <w:sz w:val="28"/>
          <w:szCs w:val="28"/>
        </w:rPr>
        <w:t>* * *</w:t>
      </w:r>
    </w:p>
    <w:p w14:paraId="5814EF87" w14:textId="39592463" w:rsidR="00756A18" w:rsidRPr="00B032A9" w:rsidRDefault="00756A18" w:rsidP="007C51C9">
      <w:pPr>
        <w:pStyle w:val="Brvesco-Normal"/>
        <w:spacing w:line="240" w:lineRule="auto"/>
        <w:ind w:left="-284"/>
        <w:rPr>
          <w:rFonts w:ascii="Segoe UI" w:hAnsi="Segoe UI" w:cs="Segoe UI"/>
          <w:iCs/>
          <w:color w:val="000091"/>
          <w:lang w:eastAsia="fr-FR"/>
        </w:rPr>
      </w:pPr>
      <w:r w:rsidRPr="00B032A9">
        <w:rPr>
          <w:rFonts w:ascii="Segoe UI" w:hAnsi="Segoe UI" w:cs="Segoe UI"/>
          <w:b/>
          <w:sz w:val="18"/>
          <w:szCs w:val="18"/>
        </w:rPr>
        <w:br w:type="page"/>
      </w:r>
    </w:p>
    <w:p w14:paraId="528DD5CC" w14:textId="5B7834FF" w:rsidR="00464468" w:rsidRDefault="00CF4661" w:rsidP="00830648">
      <w:pPr>
        <w:jc w:val="center"/>
        <w:rPr>
          <w:rFonts w:ascii="Segoe UI" w:hAnsi="Segoe UI" w:cs="Segoe UI"/>
          <w:bCs/>
          <w:color w:val="000091" w:themeColor="text1"/>
          <w:szCs w:val="28"/>
        </w:rPr>
      </w:pPr>
      <w:r>
        <w:rPr>
          <w:rFonts w:ascii="Segoe UI" w:hAnsi="Segoe UI" w:cs="Segoe UI"/>
          <w:bCs/>
          <w:noProof/>
          <w:color w:val="000091" w:themeColor="text1"/>
          <w:szCs w:val="28"/>
        </w:rPr>
        <w:lastRenderedPageBreak/>
        <mc:AlternateContent>
          <mc:Choice Requires="wps">
            <w:drawing>
              <wp:anchor distT="0" distB="0" distL="114300" distR="114300" simplePos="0" relativeHeight="251671552" behindDoc="1" locked="0" layoutInCell="1" allowOverlap="1" wp14:anchorId="28CAF284" wp14:editId="0562B152">
                <wp:simplePos x="0" y="0"/>
                <wp:positionH relativeFrom="page">
                  <wp:align>right</wp:align>
                </wp:positionH>
                <wp:positionV relativeFrom="paragraph">
                  <wp:posOffset>-955541</wp:posOffset>
                </wp:positionV>
                <wp:extent cx="8181474" cy="12074037"/>
                <wp:effectExtent l="0" t="0" r="0" b="3810"/>
                <wp:wrapNone/>
                <wp:docPr id="27" name="Rectangle 27"/>
                <wp:cNvGraphicFramePr/>
                <a:graphic xmlns:a="http://schemas.openxmlformats.org/drawingml/2006/main">
                  <a:graphicData uri="http://schemas.microsoft.com/office/word/2010/wordprocessingShape">
                    <wps:wsp>
                      <wps:cNvSpPr/>
                      <wps:spPr>
                        <a:xfrm>
                          <a:off x="0" y="0"/>
                          <a:ext cx="8181474" cy="12074037"/>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4A9B9" w14:textId="381D4DB4" w:rsidR="00D55857" w:rsidRDefault="00D55857" w:rsidP="00D55857">
                            <w:r>
                              <w:t>F</w:t>
                            </w:r>
                          </w:p>
                          <w:p w14:paraId="43E88B71" w14:textId="4B3A5574" w:rsidR="00D55857" w:rsidRDefault="00D55857" w:rsidP="00D55857"/>
                          <w:p w14:paraId="17ED1018" w14:textId="7C8F3119" w:rsidR="00D55857" w:rsidRDefault="00D55857" w:rsidP="00D55857"/>
                          <w:p w14:paraId="1C5B77C2" w14:textId="77777777" w:rsidR="00D55857" w:rsidRDefault="00D55857" w:rsidP="008306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AF284" id="Rectangle 27" o:spid="_x0000_s1030" style="position:absolute;left:0;text-align:left;margin-left:593pt;margin-top:-75.25pt;width:644.2pt;height:950.7pt;z-index:-2516449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" fillcolor="#fef8e8" stroked="f" strokeweight="1pt">
                <v:textbox>
                  <w:txbxContent>
                    <w:p w14:paraId="0A84A9B9" w14:textId="381D4DB4" w:rsidR="00D55857" w:rsidRDefault="00D55857" w:rsidP="00D55857">
                      <w:r>
                        <w:t>F</w:t>
                      </w:r>
                    </w:p>
                    <w:p w14:paraId="43E88B71" w14:textId="4B3A5574" w:rsidR="00D55857" w:rsidRDefault="00D55857" w:rsidP="00D55857"/>
                    <w:p w14:paraId="17ED1018" w14:textId="7C8F3119" w:rsidR="00D55857" w:rsidRDefault="00D55857" w:rsidP="00D55857"/>
                    <w:p w14:paraId="1C5B77C2" w14:textId="77777777" w:rsidR="00D55857" w:rsidRDefault="00D55857" w:rsidP="00830648"/>
                  </w:txbxContent>
                </v:textbox>
                <w10:wrap anchorx="page"/>
              </v:rect>
            </w:pict>
          </mc:Fallback>
        </mc:AlternateContent>
      </w:r>
      <w:r w:rsidR="0097041D">
        <w:rPr>
          <w:rFonts w:ascii="Segoe UI" w:hAnsi="Segoe UI" w:cs="Segoe UI"/>
          <w:bCs/>
          <w:color w:val="000091" w:themeColor="text1"/>
          <w:szCs w:val="28"/>
        </w:rPr>
        <w:t>ANNEXE 1 : Principaux partenaires commerciaux de la Lettonie</w:t>
      </w:r>
    </w:p>
    <w:p w14:paraId="613F37E0" w14:textId="77777777" w:rsidR="00464468" w:rsidRDefault="00464468" w:rsidP="00830648">
      <w:pPr>
        <w:rPr>
          <w:rFonts w:ascii="Segoe UI" w:hAnsi="Segoe UI" w:cs="Segoe UI"/>
          <w:bCs/>
          <w:color w:val="000091" w:themeColor="text1"/>
          <w:szCs w:val="28"/>
        </w:rPr>
      </w:pPr>
    </w:p>
    <w:tbl>
      <w:tblPr>
        <w:tblW w:w="10634" w:type="dxa"/>
        <w:tblInd w:w="-727" w:type="dxa"/>
        <w:tblCellMar>
          <w:left w:w="70" w:type="dxa"/>
          <w:right w:w="70" w:type="dxa"/>
        </w:tblCellMar>
        <w:tblLook w:val="04A0" w:firstRow="1" w:lastRow="0" w:firstColumn="1" w:lastColumn="0" w:noHBand="0" w:noVBand="1"/>
      </w:tblPr>
      <w:tblGrid>
        <w:gridCol w:w="2206"/>
        <w:gridCol w:w="1369"/>
        <w:gridCol w:w="805"/>
        <w:gridCol w:w="601"/>
        <w:gridCol w:w="1328"/>
        <w:gridCol w:w="894"/>
        <w:gridCol w:w="602"/>
        <w:gridCol w:w="1328"/>
        <w:gridCol w:w="894"/>
        <w:gridCol w:w="601"/>
        <w:gridCol w:w="6"/>
      </w:tblGrid>
      <w:tr w:rsidR="0032597A" w:rsidRPr="00D55857" w14:paraId="7A410257" w14:textId="77777777" w:rsidTr="00830648">
        <w:trPr>
          <w:trHeight w:val="377"/>
        </w:trPr>
        <w:tc>
          <w:tcPr>
            <w:tcW w:w="10634" w:type="dxa"/>
            <w:gridSpan w:val="11"/>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A62C58A" w14:textId="276D68AD" w:rsidR="00D55857" w:rsidRPr="00830648" w:rsidRDefault="00B21503" w:rsidP="00D55857">
            <w:pPr>
              <w:jc w:val="center"/>
              <w:rPr>
                <w:rFonts w:ascii="Calibri" w:hAnsi="Calibri" w:cs="Calibri"/>
                <w:b/>
                <w:bCs/>
                <w:color w:val="000000"/>
                <w:sz w:val="22"/>
                <w:szCs w:val="22"/>
              </w:rPr>
            </w:pPr>
            <w:r>
              <w:rPr>
                <w:rFonts w:ascii="Calibri" w:hAnsi="Calibri" w:cs="Calibri"/>
                <w:b/>
                <w:bCs/>
                <w:color w:val="000000"/>
                <w:sz w:val="22"/>
                <w:szCs w:val="22"/>
              </w:rPr>
              <w:t>Importations</w:t>
            </w:r>
          </w:p>
        </w:tc>
      </w:tr>
      <w:tr w:rsidR="00D55857" w:rsidRPr="00D55857" w14:paraId="239201DB" w14:textId="77777777" w:rsidTr="00830648">
        <w:trPr>
          <w:trHeight w:val="300"/>
        </w:trPr>
        <w:tc>
          <w:tcPr>
            <w:tcW w:w="2206" w:type="dxa"/>
            <w:vMerge w:val="restart"/>
            <w:tcBorders>
              <w:top w:val="nil"/>
              <w:left w:val="single" w:sz="4" w:space="0" w:color="auto"/>
              <w:bottom w:val="single" w:sz="4" w:space="0" w:color="000000"/>
              <w:right w:val="single" w:sz="4" w:space="0" w:color="auto"/>
            </w:tcBorders>
            <w:shd w:val="clear" w:color="000000" w:fill="8DB4E2"/>
            <w:vAlign w:val="center"/>
            <w:hideMark/>
          </w:tcPr>
          <w:p w14:paraId="2B03C130"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Pays partenaires</w:t>
            </w:r>
          </w:p>
        </w:tc>
        <w:tc>
          <w:tcPr>
            <w:tcW w:w="2775" w:type="dxa"/>
            <w:gridSpan w:val="3"/>
            <w:tcBorders>
              <w:top w:val="single" w:sz="4" w:space="0" w:color="auto"/>
              <w:left w:val="nil"/>
              <w:bottom w:val="single" w:sz="4" w:space="0" w:color="auto"/>
              <w:right w:val="nil"/>
            </w:tcBorders>
            <w:shd w:val="clear" w:color="000000" w:fill="8DB4E2"/>
            <w:noWrap/>
            <w:vAlign w:val="center"/>
            <w:hideMark/>
          </w:tcPr>
          <w:p w14:paraId="4A171266"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2024</w:t>
            </w:r>
          </w:p>
        </w:tc>
        <w:tc>
          <w:tcPr>
            <w:tcW w:w="2824" w:type="dxa"/>
            <w:gridSpan w:val="3"/>
            <w:tcBorders>
              <w:top w:val="single" w:sz="4" w:space="0" w:color="auto"/>
              <w:left w:val="nil"/>
              <w:bottom w:val="single" w:sz="4" w:space="0" w:color="auto"/>
              <w:right w:val="nil"/>
            </w:tcBorders>
            <w:shd w:val="clear" w:color="000000" w:fill="8DB4E2"/>
            <w:noWrap/>
            <w:vAlign w:val="center"/>
            <w:hideMark/>
          </w:tcPr>
          <w:p w14:paraId="7229A33A"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2023</w:t>
            </w:r>
          </w:p>
        </w:tc>
        <w:tc>
          <w:tcPr>
            <w:tcW w:w="2829" w:type="dxa"/>
            <w:gridSpan w:val="4"/>
            <w:tcBorders>
              <w:top w:val="single" w:sz="4" w:space="0" w:color="auto"/>
              <w:left w:val="nil"/>
              <w:bottom w:val="single" w:sz="4" w:space="0" w:color="auto"/>
              <w:right w:val="nil"/>
            </w:tcBorders>
            <w:shd w:val="clear" w:color="000000" w:fill="8DB4E2"/>
            <w:noWrap/>
            <w:vAlign w:val="center"/>
            <w:hideMark/>
          </w:tcPr>
          <w:p w14:paraId="4267CF8C"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2022</w:t>
            </w:r>
          </w:p>
        </w:tc>
      </w:tr>
      <w:tr w:rsidR="00294ADD" w:rsidRPr="00D55857" w14:paraId="2F82ACA5" w14:textId="77777777" w:rsidTr="00B21503">
        <w:trPr>
          <w:gridAfter w:val="1"/>
          <w:wAfter w:w="6" w:type="dxa"/>
          <w:trHeight w:val="300"/>
        </w:trPr>
        <w:tc>
          <w:tcPr>
            <w:tcW w:w="2206" w:type="dxa"/>
            <w:vMerge/>
            <w:tcBorders>
              <w:top w:val="nil"/>
              <w:left w:val="single" w:sz="4" w:space="0" w:color="auto"/>
              <w:bottom w:val="single" w:sz="4" w:space="0" w:color="000000"/>
              <w:right w:val="single" w:sz="4" w:space="0" w:color="auto"/>
            </w:tcBorders>
            <w:vAlign w:val="center"/>
            <w:hideMark/>
          </w:tcPr>
          <w:p w14:paraId="335DF9CA" w14:textId="77777777" w:rsidR="00D55857" w:rsidRPr="00D55857" w:rsidRDefault="00D55857" w:rsidP="00D55857">
            <w:pPr>
              <w:rPr>
                <w:rFonts w:ascii="Calibri" w:hAnsi="Calibri" w:cs="Calibri"/>
                <w:b/>
                <w:bCs/>
                <w:color w:val="000000"/>
                <w:sz w:val="22"/>
                <w:szCs w:val="22"/>
              </w:rPr>
            </w:pPr>
          </w:p>
        </w:tc>
        <w:tc>
          <w:tcPr>
            <w:tcW w:w="1369" w:type="dxa"/>
            <w:tcBorders>
              <w:top w:val="nil"/>
              <w:left w:val="nil"/>
              <w:bottom w:val="single" w:sz="4" w:space="0" w:color="auto"/>
              <w:right w:val="single" w:sz="4" w:space="0" w:color="auto"/>
            </w:tcBorders>
            <w:shd w:val="clear" w:color="000000" w:fill="8DB4E2"/>
            <w:noWrap/>
            <w:vAlign w:val="bottom"/>
            <w:hideMark/>
          </w:tcPr>
          <w:p w14:paraId="37447BF2"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Millions EUR</w:t>
            </w:r>
          </w:p>
        </w:tc>
        <w:tc>
          <w:tcPr>
            <w:tcW w:w="805" w:type="dxa"/>
            <w:tcBorders>
              <w:top w:val="nil"/>
              <w:left w:val="nil"/>
              <w:bottom w:val="single" w:sz="4" w:space="0" w:color="auto"/>
              <w:right w:val="single" w:sz="4" w:space="0" w:color="auto"/>
            </w:tcBorders>
            <w:shd w:val="clear" w:color="000000" w:fill="8DB4E2"/>
            <w:noWrap/>
            <w:vAlign w:val="center"/>
            <w:hideMark/>
          </w:tcPr>
          <w:p w14:paraId="5953CA47"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w:t>
            </w:r>
          </w:p>
        </w:tc>
        <w:tc>
          <w:tcPr>
            <w:tcW w:w="601" w:type="dxa"/>
            <w:tcBorders>
              <w:top w:val="nil"/>
              <w:left w:val="nil"/>
              <w:bottom w:val="single" w:sz="4" w:space="0" w:color="auto"/>
              <w:right w:val="single" w:sz="4" w:space="0" w:color="auto"/>
            </w:tcBorders>
            <w:shd w:val="clear" w:color="000000" w:fill="8DB4E2"/>
            <w:noWrap/>
            <w:vAlign w:val="center"/>
            <w:hideMark/>
          </w:tcPr>
          <w:p w14:paraId="7E83FE0D"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Rang</w:t>
            </w:r>
          </w:p>
        </w:tc>
        <w:tc>
          <w:tcPr>
            <w:tcW w:w="1328" w:type="dxa"/>
            <w:tcBorders>
              <w:top w:val="nil"/>
              <w:left w:val="nil"/>
              <w:bottom w:val="single" w:sz="4" w:space="0" w:color="auto"/>
              <w:right w:val="single" w:sz="4" w:space="0" w:color="auto"/>
            </w:tcBorders>
            <w:shd w:val="clear" w:color="000000" w:fill="8DB4E2"/>
            <w:noWrap/>
            <w:vAlign w:val="bottom"/>
            <w:hideMark/>
          </w:tcPr>
          <w:p w14:paraId="28B62705"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Millions EUR</w:t>
            </w:r>
          </w:p>
        </w:tc>
        <w:tc>
          <w:tcPr>
            <w:tcW w:w="894" w:type="dxa"/>
            <w:tcBorders>
              <w:top w:val="nil"/>
              <w:left w:val="nil"/>
              <w:bottom w:val="single" w:sz="4" w:space="0" w:color="auto"/>
              <w:right w:val="single" w:sz="4" w:space="0" w:color="auto"/>
            </w:tcBorders>
            <w:shd w:val="clear" w:color="000000" w:fill="8DB4E2"/>
            <w:noWrap/>
            <w:vAlign w:val="center"/>
            <w:hideMark/>
          </w:tcPr>
          <w:p w14:paraId="6F03ACAD"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w:t>
            </w:r>
          </w:p>
        </w:tc>
        <w:tc>
          <w:tcPr>
            <w:tcW w:w="602" w:type="dxa"/>
            <w:tcBorders>
              <w:top w:val="nil"/>
              <w:left w:val="nil"/>
              <w:bottom w:val="single" w:sz="4" w:space="0" w:color="auto"/>
              <w:right w:val="single" w:sz="4" w:space="0" w:color="auto"/>
            </w:tcBorders>
            <w:shd w:val="clear" w:color="000000" w:fill="8DB4E2"/>
            <w:noWrap/>
            <w:vAlign w:val="center"/>
            <w:hideMark/>
          </w:tcPr>
          <w:p w14:paraId="7B045C16"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Rang</w:t>
            </w:r>
          </w:p>
        </w:tc>
        <w:tc>
          <w:tcPr>
            <w:tcW w:w="1328" w:type="dxa"/>
            <w:tcBorders>
              <w:top w:val="nil"/>
              <w:left w:val="nil"/>
              <w:bottom w:val="single" w:sz="4" w:space="0" w:color="auto"/>
              <w:right w:val="single" w:sz="4" w:space="0" w:color="auto"/>
            </w:tcBorders>
            <w:shd w:val="clear" w:color="000000" w:fill="8DB4E2"/>
            <w:noWrap/>
            <w:vAlign w:val="bottom"/>
            <w:hideMark/>
          </w:tcPr>
          <w:p w14:paraId="714D9FEA"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Millions EUR</w:t>
            </w:r>
          </w:p>
        </w:tc>
        <w:tc>
          <w:tcPr>
            <w:tcW w:w="894" w:type="dxa"/>
            <w:tcBorders>
              <w:top w:val="nil"/>
              <w:left w:val="nil"/>
              <w:bottom w:val="single" w:sz="4" w:space="0" w:color="auto"/>
              <w:right w:val="single" w:sz="4" w:space="0" w:color="auto"/>
            </w:tcBorders>
            <w:shd w:val="clear" w:color="000000" w:fill="8DB4E2"/>
            <w:noWrap/>
            <w:vAlign w:val="center"/>
            <w:hideMark/>
          </w:tcPr>
          <w:p w14:paraId="49FCD1D0"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w:t>
            </w:r>
          </w:p>
        </w:tc>
        <w:tc>
          <w:tcPr>
            <w:tcW w:w="601" w:type="dxa"/>
            <w:tcBorders>
              <w:top w:val="nil"/>
              <w:left w:val="nil"/>
              <w:bottom w:val="single" w:sz="4" w:space="0" w:color="auto"/>
              <w:right w:val="single" w:sz="4" w:space="0" w:color="auto"/>
            </w:tcBorders>
            <w:shd w:val="clear" w:color="000000" w:fill="8DB4E2"/>
            <w:noWrap/>
            <w:vAlign w:val="center"/>
            <w:hideMark/>
          </w:tcPr>
          <w:p w14:paraId="0309F182"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Rang</w:t>
            </w:r>
          </w:p>
        </w:tc>
      </w:tr>
      <w:tr w:rsidR="005F41EC" w:rsidRPr="00D55857" w14:paraId="326EEDB4"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vAlign w:val="center"/>
            <w:hideMark/>
          </w:tcPr>
          <w:p w14:paraId="4325F40F" w14:textId="5DDB5444"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Lituanie</w:t>
            </w:r>
          </w:p>
        </w:tc>
        <w:tc>
          <w:tcPr>
            <w:tcW w:w="1369" w:type="dxa"/>
            <w:tcBorders>
              <w:top w:val="nil"/>
              <w:left w:val="nil"/>
              <w:bottom w:val="single" w:sz="4" w:space="0" w:color="auto"/>
              <w:right w:val="single" w:sz="4" w:space="0" w:color="auto"/>
            </w:tcBorders>
            <w:shd w:val="clear" w:color="000000" w:fill="FFFFFF"/>
            <w:noWrap/>
            <w:vAlign w:val="center"/>
            <w:hideMark/>
          </w:tcPr>
          <w:p w14:paraId="2210C42F" w14:textId="2926B14E" w:rsidR="005F41EC" w:rsidRPr="00D55857" w:rsidRDefault="005F41EC" w:rsidP="005F41EC">
            <w:pPr>
              <w:jc w:val="center"/>
              <w:rPr>
                <w:rFonts w:ascii="Calibri" w:hAnsi="Calibri" w:cs="Calibri"/>
                <w:b/>
                <w:bCs/>
                <w:color w:val="000000"/>
                <w:sz w:val="22"/>
                <w:szCs w:val="22"/>
              </w:rPr>
            </w:pPr>
            <w:r w:rsidRPr="00D55857">
              <w:rPr>
                <w:rFonts w:ascii="Calibri" w:hAnsi="Calibri" w:cs="Calibri"/>
                <w:color w:val="000000"/>
                <w:sz w:val="22"/>
                <w:szCs w:val="22"/>
              </w:rPr>
              <w:t>4 482</w:t>
            </w:r>
          </w:p>
        </w:tc>
        <w:tc>
          <w:tcPr>
            <w:tcW w:w="805" w:type="dxa"/>
            <w:tcBorders>
              <w:top w:val="nil"/>
              <w:left w:val="nil"/>
              <w:bottom w:val="single" w:sz="4" w:space="0" w:color="auto"/>
              <w:right w:val="single" w:sz="4" w:space="0" w:color="auto"/>
            </w:tcBorders>
            <w:shd w:val="clear" w:color="000000" w:fill="FFFFFF"/>
            <w:noWrap/>
            <w:vAlign w:val="center"/>
            <w:hideMark/>
          </w:tcPr>
          <w:p w14:paraId="784305A7" w14:textId="59D67B20" w:rsidR="005F41EC" w:rsidRPr="00D55857" w:rsidRDefault="005F41EC" w:rsidP="005F41EC">
            <w:pPr>
              <w:jc w:val="center"/>
              <w:rPr>
                <w:rFonts w:ascii="Calibri" w:hAnsi="Calibri" w:cs="Calibri"/>
                <w:b/>
                <w:bCs/>
                <w:color w:val="000000"/>
                <w:sz w:val="22"/>
                <w:szCs w:val="22"/>
              </w:rPr>
            </w:pPr>
            <w:r>
              <w:rPr>
                <w:rFonts w:ascii="Calibri" w:hAnsi="Calibri" w:cs="Calibri"/>
                <w:color w:val="000000"/>
                <w:sz w:val="22"/>
                <w:szCs w:val="22"/>
              </w:rPr>
              <w:t>20,7%</w:t>
            </w:r>
          </w:p>
        </w:tc>
        <w:tc>
          <w:tcPr>
            <w:tcW w:w="601" w:type="dxa"/>
            <w:tcBorders>
              <w:top w:val="nil"/>
              <w:left w:val="nil"/>
              <w:bottom w:val="single" w:sz="4" w:space="0" w:color="auto"/>
              <w:right w:val="single" w:sz="4" w:space="0" w:color="auto"/>
            </w:tcBorders>
            <w:shd w:val="clear" w:color="000000" w:fill="FFFFFF"/>
            <w:noWrap/>
            <w:vAlign w:val="center"/>
            <w:hideMark/>
          </w:tcPr>
          <w:p w14:paraId="3E3CDBEB" w14:textId="1721F3D5" w:rsidR="005F41EC" w:rsidRPr="00D55857" w:rsidRDefault="005F41EC" w:rsidP="005F41EC">
            <w:pPr>
              <w:jc w:val="center"/>
              <w:rPr>
                <w:rFonts w:ascii="Calibri" w:hAnsi="Calibri" w:cs="Calibri"/>
                <w:b/>
                <w:bCs/>
                <w:color w:val="000000"/>
                <w:sz w:val="22"/>
                <w:szCs w:val="22"/>
              </w:rPr>
            </w:pPr>
            <w:r w:rsidRPr="00D55857">
              <w:rPr>
                <w:rFonts w:ascii="Calibri" w:hAnsi="Calibri" w:cs="Calibri"/>
                <w:color w:val="000000"/>
                <w:sz w:val="22"/>
                <w:szCs w:val="22"/>
              </w:rPr>
              <w:t>1</w:t>
            </w:r>
          </w:p>
        </w:tc>
        <w:tc>
          <w:tcPr>
            <w:tcW w:w="1328" w:type="dxa"/>
            <w:tcBorders>
              <w:top w:val="nil"/>
              <w:left w:val="nil"/>
              <w:bottom w:val="single" w:sz="4" w:space="0" w:color="auto"/>
              <w:right w:val="single" w:sz="4" w:space="0" w:color="auto"/>
            </w:tcBorders>
            <w:shd w:val="clear" w:color="000000" w:fill="FFFFFF"/>
            <w:noWrap/>
            <w:vAlign w:val="center"/>
            <w:hideMark/>
          </w:tcPr>
          <w:p w14:paraId="3FCD90C6" w14:textId="2289815A" w:rsidR="005F41EC" w:rsidRPr="00D55857" w:rsidRDefault="005F41EC" w:rsidP="005F41EC">
            <w:pPr>
              <w:jc w:val="center"/>
              <w:rPr>
                <w:rFonts w:ascii="Calibri" w:hAnsi="Calibri" w:cs="Calibri"/>
                <w:b/>
                <w:bCs/>
                <w:color w:val="000000"/>
                <w:sz w:val="22"/>
                <w:szCs w:val="22"/>
              </w:rPr>
            </w:pPr>
            <w:r w:rsidRPr="00D55857">
              <w:rPr>
                <w:rFonts w:ascii="Calibri" w:hAnsi="Calibri" w:cs="Calibri"/>
                <w:color w:val="000000"/>
                <w:sz w:val="22"/>
                <w:szCs w:val="22"/>
              </w:rPr>
              <w:t>4 928</w:t>
            </w:r>
          </w:p>
        </w:tc>
        <w:tc>
          <w:tcPr>
            <w:tcW w:w="894" w:type="dxa"/>
            <w:tcBorders>
              <w:top w:val="nil"/>
              <w:left w:val="nil"/>
              <w:bottom w:val="single" w:sz="4" w:space="0" w:color="auto"/>
              <w:right w:val="single" w:sz="4" w:space="0" w:color="auto"/>
            </w:tcBorders>
            <w:shd w:val="clear" w:color="000000" w:fill="FFFFFF"/>
            <w:noWrap/>
            <w:vAlign w:val="center"/>
            <w:hideMark/>
          </w:tcPr>
          <w:p w14:paraId="4C37E3EE" w14:textId="15B63BCF" w:rsidR="005F41EC" w:rsidRPr="00D55857" w:rsidRDefault="005F41EC" w:rsidP="005F41EC">
            <w:pPr>
              <w:jc w:val="center"/>
              <w:rPr>
                <w:rFonts w:ascii="Calibri" w:hAnsi="Calibri" w:cs="Calibri"/>
                <w:b/>
                <w:bCs/>
                <w:color w:val="000000"/>
                <w:sz w:val="22"/>
                <w:szCs w:val="22"/>
              </w:rPr>
            </w:pPr>
            <w:r>
              <w:rPr>
                <w:rFonts w:ascii="Calibri" w:hAnsi="Calibri" w:cs="Calibri"/>
                <w:color w:val="000000"/>
                <w:sz w:val="22"/>
                <w:szCs w:val="22"/>
              </w:rPr>
              <w:t>21,1%</w:t>
            </w:r>
          </w:p>
        </w:tc>
        <w:tc>
          <w:tcPr>
            <w:tcW w:w="602" w:type="dxa"/>
            <w:tcBorders>
              <w:top w:val="nil"/>
              <w:left w:val="nil"/>
              <w:bottom w:val="single" w:sz="4" w:space="0" w:color="auto"/>
              <w:right w:val="single" w:sz="4" w:space="0" w:color="auto"/>
            </w:tcBorders>
            <w:shd w:val="clear" w:color="000000" w:fill="FFFFFF"/>
            <w:noWrap/>
            <w:vAlign w:val="center"/>
            <w:hideMark/>
          </w:tcPr>
          <w:p w14:paraId="172FFFCC" w14:textId="3F40BD17" w:rsidR="005F41EC" w:rsidRPr="00D55857" w:rsidRDefault="005F41EC" w:rsidP="005F41EC">
            <w:pPr>
              <w:jc w:val="center"/>
              <w:rPr>
                <w:rFonts w:ascii="Calibri" w:hAnsi="Calibri" w:cs="Calibri"/>
                <w:b/>
                <w:bCs/>
                <w:color w:val="000000"/>
                <w:sz w:val="22"/>
                <w:szCs w:val="22"/>
              </w:rPr>
            </w:pPr>
            <w:r w:rsidRPr="00D55857">
              <w:rPr>
                <w:rFonts w:ascii="Calibri" w:hAnsi="Calibri" w:cs="Calibri"/>
                <w:color w:val="000000"/>
                <w:sz w:val="22"/>
                <w:szCs w:val="22"/>
              </w:rPr>
              <w:t>1</w:t>
            </w:r>
          </w:p>
        </w:tc>
        <w:tc>
          <w:tcPr>
            <w:tcW w:w="1328" w:type="dxa"/>
            <w:tcBorders>
              <w:top w:val="nil"/>
              <w:left w:val="nil"/>
              <w:bottom w:val="single" w:sz="4" w:space="0" w:color="auto"/>
              <w:right w:val="single" w:sz="4" w:space="0" w:color="auto"/>
            </w:tcBorders>
            <w:shd w:val="clear" w:color="000000" w:fill="FFFFFF"/>
            <w:noWrap/>
            <w:vAlign w:val="center"/>
            <w:hideMark/>
          </w:tcPr>
          <w:p w14:paraId="277502E3" w14:textId="55713C25" w:rsidR="005F41EC" w:rsidRPr="00D55857" w:rsidRDefault="005F41EC" w:rsidP="005F41EC">
            <w:pPr>
              <w:jc w:val="center"/>
              <w:rPr>
                <w:rFonts w:ascii="Calibri" w:hAnsi="Calibri" w:cs="Calibri"/>
                <w:b/>
                <w:bCs/>
                <w:color w:val="000000"/>
                <w:sz w:val="22"/>
                <w:szCs w:val="22"/>
              </w:rPr>
            </w:pPr>
            <w:r w:rsidRPr="00D55857">
              <w:rPr>
                <w:rFonts w:ascii="Calibri" w:hAnsi="Calibri" w:cs="Calibri"/>
                <w:color w:val="000000"/>
                <w:sz w:val="22"/>
                <w:szCs w:val="22"/>
              </w:rPr>
              <w:t>6 451</w:t>
            </w:r>
          </w:p>
        </w:tc>
        <w:tc>
          <w:tcPr>
            <w:tcW w:w="894" w:type="dxa"/>
            <w:tcBorders>
              <w:top w:val="nil"/>
              <w:left w:val="nil"/>
              <w:bottom w:val="single" w:sz="4" w:space="0" w:color="auto"/>
              <w:right w:val="single" w:sz="4" w:space="0" w:color="auto"/>
            </w:tcBorders>
            <w:shd w:val="clear" w:color="000000" w:fill="FFFFFF"/>
            <w:noWrap/>
            <w:vAlign w:val="center"/>
            <w:hideMark/>
          </w:tcPr>
          <w:p w14:paraId="4EFC86C5" w14:textId="48852F56" w:rsidR="005F41EC" w:rsidRPr="00D55857" w:rsidRDefault="005F41EC" w:rsidP="005F41EC">
            <w:pPr>
              <w:jc w:val="center"/>
              <w:rPr>
                <w:rFonts w:ascii="Calibri" w:hAnsi="Calibri" w:cs="Calibri"/>
                <w:b/>
                <w:bCs/>
                <w:color w:val="000000"/>
                <w:sz w:val="22"/>
                <w:szCs w:val="22"/>
              </w:rPr>
            </w:pPr>
            <w:r>
              <w:rPr>
                <w:rFonts w:ascii="Calibri" w:hAnsi="Calibri" w:cs="Calibri"/>
                <w:color w:val="000000"/>
                <w:sz w:val="22"/>
                <w:szCs w:val="22"/>
              </w:rPr>
              <w:t>24,3%</w:t>
            </w:r>
          </w:p>
        </w:tc>
        <w:tc>
          <w:tcPr>
            <w:tcW w:w="601" w:type="dxa"/>
            <w:tcBorders>
              <w:top w:val="nil"/>
              <w:left w:val="nil"/>
              <w:bottom w:val="single" w:sz="4" w:space="0" w:color="auto"/>
              <w:right w:val="single" w:sz="4" w:space="0" w:color="auto"/>
            </w:tcBorders>
            <w:shd w:val="clear" w:color="000000" w:fill="FFFFFF"/>
            <w:noWrap/>
            <w:vAlign w:val="center"/>
            <w:hideMark/>
          </w:tcPr>
          <w:p w14:paraId="48CB1845" w14:textId="172F7D54" w:rsidR="005F41EC" w:rsidRPr="00D55857" w:rsidRDefault="005F41EC" w:rsidP="005F41EC">
            <w:pPr>
              <w:jc w:val="center"/>
              <w:rPr>
                <w:rFonts w:ascii="Calibri" w:hAnsi="Calibri" w:cs="Calibri"/>
                <w:b/>
                <w:bCs/>
                <w:color w:val="000000"/>
                <w:sz w:val="22"/>
                <w:szCs w:val="22"/>
              </w:rPr>
            </w:pPr>
            <w:r w:rsidRPr="00D55857">
              <w:rPr>
                <w:rFonts w:ascii="Calibri" w:hAnsi="Calibri" w:cs="Calibri"/>
                <w:color w:val="000000"/>
                <w:sz w:val="22"/>
                <w:szCs w:val="22"/>
              </w:rPr>
              <w:t>1</w:t>
            </w:r>
          </w:p>
        </w:tc>
      </w:tr>
      <w:tr w:rsidR="005F41EC" w:rsidRPr="00D55857" w14:paraId="2EF18943"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64A1D5AD" w14:textId="3AC4CC34"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Allemagne</w:t>
            </w:r>
          </w:p>
        </w:tc>
        <w:tc>
          <w:tcPr>
            <w:tcW w:w="1369" w:type="dxa"/>
            <w:tcBorders>
              <w:top w:val="nil"/>
              <w:left w:val="nil"/>
              <w:bottom w:val="single" w:sz="4" w:space="0" w:color="auto"/>
              <w:right w:val="single" w:sz="4" w:space="0" w:color="auto"/>
            </w:tcBorders>
            <w:shd w:val="clear" w:color="000000" w:fill="FFFFFF"/>
            <w:noWrap/>
            <w:vAlign w:val="center"/>
            <w:hideMark/>
          </w:tcPr>
          <w:p w14:paraId="2F8F2C09" w14:textId="264B8A28"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2 510</w:t>
            </w:r>
          </w:p>
        </w:tc>
        <w:tc>
          <w:tcPr>
            <w:tcW w:w="805" w:type="dxa"/>
            <w:tcBorders>
              <w:top w:val="nil"/>
              <w:left w:val="nil"/>
              <w:bottom w:val="single" w:sz="4" w:space="0" w:color="auto"/>
              <w:right w:val="single" w:sz="4" w:space="0" w:color="auto"/>
            </w:tcBorders>
            <w:shd w:val="clear" w:color="000000" w:fill="FFFFFF"/>
            <w:noWrap/>
            <w:vAlign w:val="center"/>
            <w:hideMark/>
          </w:tcPr>
          <w:p w14:paraId="2299151C" w14:textId="36384B08"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11,6%</w:t>
            </w:r>
          </w:p>
        </w:tc>
        <w:tc>
          <w:tcPr>
            <w:tcW w:w="601" w:type="dxa"/>
            <w:tcBorders>
              <w:top w:val="nil"/>
              <w:left w:val="nil"/>
              <w:bottom w:val="single" w:sz="4" w:space="0" w:color="auto"/>
              <w:right w:val="single" w:sz="4" w:space="0" w:color="auto"/>
            </w:tcBorders>
            <w:shd w:val="clear" w:color="000000" w:fill="FFFFFF"/>
            <w:noWrap/>
            <w:vAlign w:val="center"/>
            <w:hideMark/>
          </w:tcPr>
          <w:p w14:paraId="65CBA3B8" w14:textId="130EE46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w:t>
            </w:r>
          </w:p>
        </w:tc>
        <w:tc>
          <w:tcPr>
            <w:tcW w:w="1328" w:type="dxa"/>
            <w:tcBorders>
              <w:top w:val="nil"/>
              <w:left w:val="nil"/>
              <w:bottom w:val="single" w:sz="4" w:space="0" w:color="auto"/>
              <w:right w:val="single" w:sz="4" w:space="0" w:color="auto"/>
            </w:tcBorders>
            <w:shd w:val="clear" w:color="000000" w:fill="FFFFFF"/>
            <w:noWrap/>
            <w:vAlign w:val="center"/>
            <w:hideMark/>
          </w:tcPr>
          <w:p w14:paraId="5054ADCC" w14:textId="2E39F1C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2 612</w:t>
            </w:r>
          </w:p>
        </w:tc>
        <w:tc>
          <w:tcPr>
            <w:tcW w:w="894" w:type="dxa"/>
            <w:tcBorders>
              <w:top w:val="nil"/>
              <w:left w:val="nil"/>
              <w:bottom w:val="single" w:sz="4" w:space="0" w:color="auto"/>
              <w:right w:val="single" w:sz="4" w:space="0" w:color="auto"/>
            </w:tcBorders>
            <w:shd w:val="clear" w:color="000000" w:fill="FFFFFF"/>
            <w:noWrap/>
            <w:vAlign w:val="center"/>
            <w:hideMark/>
          </w:tcPr>
          <w:p w14:paraId="5B9C50C9" w14:textId="13D9140E"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11,2%</w:t>
            </w:r>
          </w:p>
        </w:tc>
        <w:tc>
          <w:tcPr>
            <w:tcW w:w="602" w:type="dxa"/>
            <w:tcBorders>
              <w:top w:val="nil"/>
              <w:left w:val="nil"/>
              <w:bottom w:val="single" w:sz="4" w:space="0" w:color="auto"/>
              <w:right w:val="single" w:sz="4" w:space="0" w:color="auto"/>
            </w:tcBorders>
            <w:shd w:val="clear" w:color="000000" w:fill="FFFFFF"/>
            <w:noWrap/>
            <w:vAlign w:val="center"/>
            <w:hideMark/>
          </w:tcPr>
          <w:p w14:paraId="16D41B85" w14:textId="7F69A81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w:t>
            </w:r>
          </w:p>
        </w:tc>
        <w:tc>
          <w:tcPr>
            <w:tcW w:w="1328" w:type="dxa"/>
            <w:tcBorders>
              <w:top w:val="nil"/>
              <w:left w:val="nil"/>
              <w:bottom w:val="single" w:sz="4" w:space="0" w:color="auto"/>
              <w:right w:val="single" w:sz="4" w:space="0" w:color="auto"/>
            </w:tcBorders>
            <w:shd w:val="clear" w:color="000000" w:fill="FFFFFF"/>
            <w:noWrap/>
            <w:vAlign w:val="center"/>
            <w:hideMark/>
          </w:tcPr>
          <w:p w14:paraId="62307164" w14:textId="63B464B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2 539</w:t>
            </w:r>
          </w:p>
        </w:tc>
        <w:tc>
          <w:tcPr>
            <w:tcW w:w="894" w:type="dxa"/>
            <w:tcBorders>
              <w:top w:val="nil"/>
              <w:left w:val="nil"/>
              <w:bottom w:val="single" w:sz="4" w:space="0" w:color="auto"/>
              <w:right w:val="single" w:sz="4" w:space="0" w:color="auto"/>
            </w:tcBorders>
            <w:shd w:val="clear" w:color="000000" w:fill="FFFFFF"/>
            <w:noWrap/>
            <w:vAlign w:val="center"/>
            <w:hideMark/>
          </w:tcPr>
          <w:p w14:paraId="777AEC61" w14:textId="1B85BE40"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9,6%</w:t>
            </w:r>
          </w:p>
        </w:tc>
        <w:tc>
          <w:tcPr>
            <w:tcW w:w="601" w:type="dxa"/>
            <w:tcBorders>
              <w:top w:val="nil"/>
              <w:left w:val="nil"/>
              <w:bottom w:val="single" w:sz="4" w:space="0" w:color="auto"/>
              <w:right w:val="single" w:sz="4" w:space="0" w:color="auto"/>
            </w:tcBorders>
            <w:shd w:val="clear" w:color="000000" w:fill="FFFFFF"/>
            <w:noWrap/>
            <w:vAlign w:val="center"/>
            <w:hideMark/>
          </w:tcPr>
          <w:p w14:paraId="41CB4A63" w14:textId="5BA0D0BC"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3</w:t>
            </w:r>
          </w:p>
        </w:tc>
      </w:tr>
      <w:tr w:rsidR="005F41EC" w:rsidRPr="00D55857" w14:paraId="3B78105A"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32BAC41" w14:textId="6D375149"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Pologne</w:t>
            </w:r>
          </w:p>
        </w:tc>
        <w:tc>
          <w:tcPr>
            <w:tcW w:w="1369" w:type="dxa"/>
            <w:tcBorders>
              <w:top w:val="nil"/>
              <w:left w:val="nil"/>
              <w:bottom w:val="single" w:sz="4" w:space="0" w:color="auto"/>
              <w:right w:val="single" w:sz="4" w:space="0" w:color="auto"/>
            </w:tcBorders>
            <w:shd w:val="clear" w:color="000000" w:fill="FFFFFF"/>
            <w:noWrap/>
            <w:vAlign w:val="center"/>
            <w:hideMark/>
          </w:tcPr>
          <w:p w14:paraId="3D7BF615" w14:textId="05AB000F"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2 405</w:t>
            </w:r>
          </w:p>
        </w:tc>
        <w:tc>
          <w:tcPr>
            <w:tcW w:w="805" w:type="dxa"/>
            <w:tcBorders>
              <w:top w:val="nil"/>
              <w:left w:val="nil"/>
              <w:bottom w:val="single" w:sz="4" w:space="0" w:color="auto"/>
              <w:right w:val="single" w:sz="4" w:space="0" w:color="auto"/>
            </w:tcBorders>
            <w:shd w:val="clear" w:color="000000" w:fill="FFFFFF"/>
            <w:noWrap/>
            <w:vAlign w:val="center"/>
            <w:hideMark/>
          </w:tcPr>
          <w:p w14:paraId="579C4D82" w14:textId="1C2A89B9"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11,1%</w:t>
            </w:r>
          </w:p>
        </w:tc>
        <w:tc>
          <w:tcPr>
            <w:tcW w:w="601" w:type="dxa"/>
            <w:tcBorders>
              <w:top w:val="nil"/>
              <w:left w:val="nil"/>
              <w:bottom w:val="single" w:sz="4" w:space="0" w:color="auto"/>
              <w:right w:val="single" w:sz="4" w:space="0" w:color="auto"/>
            </w:tcBorders>
            <w:shd w:val="clear" w:color="000000" w:fill="FFFFFF"/>
            <w:noWrap/>
            <w:vAlign w:val="center"/>
            <w:hideMark/>
          </w:tcPr>
          <w:p w14:paraId="225668D1" w14:textId="12AA45EB"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3</w:t>
            </w:r>
          </w:p>
        </w:tc>
        <w:tc>
          <w:tcPr>
            <w:tcW w:w="1328" w:type="dxa"/>
            <w:tcBorders>
              <w:top w:val="nil"/>
              <w:left w:val="nil"/>
              <w:bottom w:val="single" w:sz="4" w:space="0" w:color="auto"/>
              <w:right w:val="single" w:sz="4" w:space="0" w:color="auto"/>
            </w:tcBorders>
            <w:shd w:val="clear" w:color="000000" w:fill="FFFFFF"/>
            <w:noWrap/>
            <w:vAlign w:val="center"/>
            <w:hideMark/>
          </w:tcPr>
          <w:p w14:paraId="67FFE5AD" w14:textId="72AFFCF3"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2 471</w:t>
            </w:r>
          </w:p>
        </w:tc>
        <w:tc>
          <w:tcPr>
            <w:tcW w:w="894" w:type="dxa"/>
            <w:tcBorders>
              <w:top w:val="nil"/>
              <w:left w:val="nil"/>
              <w:bottom w:val="single" w:sz="4" w:space="0" w:color="auto"/>
              <w:right w:val="single" w:sz="4" w:space="0" w:color="auto"/>
            </w:tcBorders>
            <w:shd w:val="clear" w:color="000000" w:fill="FFFFFF"/>
            <w:noWrap/>
            <w:vAlign w:val="center"/>
            <w:hideMark/>
          </w:tcPr>
          <w:p w14:paraId="5F1B1030" w14:textId="67E52BA3"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10,6%</w:t>
            </w:r>
          </w:p>
        </w:tc>
        <w:tc>
          <w:tcPr>
            <w:tcW w:w="602" w:type="dxa"/>
            <w:tcBorders>
              <w:top w:val="nil"/>
              <w:left w:val="nil"/>
              <w:bottom w:val="single" w:sz="4" w:space="0" w:color="auto"/>
              <w:right w:val="single" w:sz="4" w:space="0" w:color="auto"/>
            </w:tcBorders>
            <w:shd w:val="clear" w:color="000000" w:fill="FFFFFF"/>
            <w:noWrap/>
            <w:vAlign w:val="center"/>
            <w:hideMark/>
          </w:tcPr>
          <w:p w14:paraId="2C48E252" w14:textId="69B8845A"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3</w:t>
            </w:r>
          </w:p>
        </w:tc>
        <w:tc>
          <w:tcPr>
            <w:tcW w:w="1328" w:type="dxa"/>
            <w:tcBorders>
              <w:top w:val="nil"/>
              <w:left w:val="nil"/>
              <w:bottom w:val="single" w:sz="4" w:space="0" w:color="auto"/>
              <w:right w:val="single" w:sz="4" w:space="0" w:color="auto"/>
            </w:tcBorders>
            <w:shd w:val="clear" w:color="000000" w:fill="FFFFFF"/>
            <w:noWrap/>
            <w:vAlign w:val="center"/>
            <w:hideMark/>
          </w:tcPr>
          <w:p w14:paraId="031F3850" w14:textId="14F80DD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2 498</w:t>
            </w:r>
          </w:p>
        </w:tc>
        <w:tc>
          <w:tcPr>
            <w:tcW w:w="894" w:type="dxa"/>
            <w:tcBorders>
              <w:top w:val="nil"/>
              <w:left w:val="nil"/>
              <w:bottom w:val="single" w:sz="4" w:space="0" w:color="auto"/>
              <w:right w:val="single" w:sz="4" w:space="0" w:color="auto"/>
            </w:tcBorders>
            <w:shd w:val="clear" w:color="000000" w:fill="FFFFFF"/>
            <w:noWrap/>
            <w:vAlign w:val="center"/>
            <w:hideMark/>
          </w:tcPr>
          <w:p w14:paraId="5FC00457" w14:textId="5F37A23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9,4%</w:t>
            </w:r>
          </w:p>
        </w:tc>
        <w:tc>
          <w:tcPr>
            <w:tcW w:w="601" w:type="dxa"/>
            <w:tcBorders>
              <w:top w:val="nil"/>
              <w:left w:val="nil"/>
              <w:bottom w:val="single" w:sz="4" w:space="0" w:color="auto"/>
              <w:right w:val="single" w:sz="4" w:space="0" w:color="auto"/>
            </w:tcBorders>
            <w:shd w:val="clear" w:color="000000" w:fill="FFFFFF"/>
            <w:noWrap/>
            <w:vAlign w:val="center"/>
            <w:hideMark/>
          </w:tcPr>
          <w:p w14:paraId="64736F0C" w14:textId="6A9F0303"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w:t>
            </w:r>
          </w:p>
        </w:tc>
      </w:tr>
      <w:tr w:rsidR="005F41EC" w:rsidRPr="00D55857" w14:paraId="770A1AA9"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818233E" w14:textId="43267E92"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Estonie</w:t>
            </w:r>
          </w:p>
        </w:tc>
        <w:tc>
          <w:tcPr>
            <w:tcW w:w="1369" w:type="dxa"/>
            <w:tcBorders>
              <w:top w:val="nil"/>
              <w:left w:val="nil"/>
              <w:bottom w:val="single" w:sz="4" w:space="0" w:color="auto"/>
              <w:right w:val="single" w:sz="4" w:space="0" w:color="auto"/>
            </w:tcBorders>
            <w:shd w:val="clear" w:color="000000" w:fill="FFFFFF"/>
            <w:noWrap/>
            <w:vAlign w:val="center"/>
            <w:hideMark/>
          </w:tcPr>
          <w:p w14:paraId="210CAD22" w14:textId="4422CF5C"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1 868</w:t>
            </w:r>
          </w:p>
        </w:tc>
        <w:tc>
          <w:tcPr>
            <w:tcW w:w="805" w:type="dxa"/>
            <w:tcBorders>
              <w:top w:val="nil"/>
              <w:left w:val="nil"/>
              <w:bottom w:val="single" w:sz="4" w:space="0" w:color="auto"/>
              <w:right w:val="single" w:sz="4" w:space="0" w:color="auto"/>
            </w:tcBorders>
            <w:shd w:val="clear" w:color="000000" w:fill="FFFFFF"/>
            <w:noWrap/>
            <w:vAlign w:val="center"/>
            <w:hideMark/>
          </w:tcPr>
          <w:p w14:paraId="7E5AC03F" w14:textId="3893484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8,6%</w:t>
            </w:r>
          </w:p>
        </w:tc>
        <w:tc>
          <w:tcPr>
            <w:tcW w:w="601" w:type="dxa"/>
            <w:tcBorders>
              <w:top w:val="nil"/>
              <w:left w:val="nil"/>
              <w:bottom w:val="single" w:sz="4" w:space="0" w:color="auto"/>
              <w:right w:val="single" w:sz="4" w:space="0" w:color="auto"/>
            </w:tcBorders>
            <w:shd w:val="clear" w:color="000000" w:fill="FFFFFF"/>
            <w:noWrap/>
            <w:vAlign w:val="center"/>
            <w:hideMark/>
          </w:tcPr>
          <w:p w14:paraId="7A8E3B5A" w14:textId="6C707B9B"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w:t>
            </w:r>
          </w:p>
        </w:tc>
        <w:tc>
          <w:tcPr>
            <w:tcW w:w="1328" w:type="dxa"/>
            <w:tcBorders>
              <w:top w:val="nil"/>
              <w:left w:val="nil"/>
              <w:bottom w:val="single" w:sz="4" w:space="0" w:color="auto"/>
              <w:right w:val="single" w:sz="4" w:space="0" w:color="auto"/>
            </w:tcBorders>
            <w:shd w:val="clear" w:color="000000" w:fill="FFFFFF"/>
            <w:noWrap/>
            <w:vAlign w:val="center"/>
            <w:hideMark/>
          </w:tcPr>
          <w:p w14:paraId="3D87DF4F" w14:textId="4BA91C7A"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1 963</w:t>
            </w:r>
          </w:p>
        </w:tc>
        <w:tc>
          <w:tcPr>
            <w:tcW w:w="894" w:type="dxa"/>
            <w:tcBorders>
              <w:top w:val="nil"/>
              <w:left w:val="nil"/>
              <w:bottom w:val="single" w:sz="4" w:space="0" w:color="auto"/>
              <w:right w:val="single" w:sz="4" w:space="0" w:color="auto"/>
            </w:tcBorders>
            <w:shd w:val="clear" w:color="000000" w:fill="FFFFFF"/>
            <w:noWrap/>
            <w:vAlign w:val="center"/>
            <w:hideMark/>
          </w:tcPr>
          <w:p w14:paraId="208EBE08" w14:textId="5B161EA2"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8,4%</w:t>
            </w:r>
          </w:p>
        </w:tc>
        <w:tc>
          <w:tcPr>
            <w:tcW w:w="602" w:type="dxa"/>
            <w:tcBorders>
              <w:top w:val="nil"/>
              <w:left w:val="nil"/>
              <w:bottom w:val="single" w:sz="4" w:space="0" w:color="auto"/>
              <w:right w:val="single" w:sz="4" w:space="0" w:color="auto"/>
            </w:tcBorders>
            <w:shd w:val="clear" w:color="000000" w:fill="FFFFFF"/>
            <w:noWrap/>
            <w:vAlign w:val="center"/>
            <w:hideMark/>
          </w:tcPr>
          <w:p w14:paraId="1F1CF4B4" w14:textId="7CACD1A4"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w:t>
            </w:r>
          </w:p>
        </w:tc>
        <w:tc>
          <w:tcPr>
            <w:tcW w:w="1328" w:type="dxa"/>
            <w:tcBorders>
              <w:top w:val="nil"/>
              <w:left w:val="nil"/>
              <w:bottom w:val="single" w:sz="4" w:space="0" w:color="auto"/>
              <w:right w:val="single" w:sz="4" w:space="0" w:color="auto"/>
            </w:tcBorders>
            <w:shd w:val="clear" w:color="000000" w:fill="FFFFFF"/>
            <w:noWrap/>
            <w:vAlign w:val="center"/>
            <w:hideMark/>
          </w:tcPr>
          <w:p w14:paraId="34E44EEB" w14:textId="751EC4B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2 669</w:t>
            </w:r>
          </w:p>
        </w:tc>
        <w:tc>
          <w:tcPr>
            <w:tcW w:w="894" w:type="dxa"/>
            <w:tcBorders>
              <w:top w:val="nil"/>
              <w:left w:val="nil"/>
              <w:bottom w:val="single" w:sz="4" w:space="0" w:color="auto"/>
              <w:right w:val="single" w:sz="4" w:space="0" w:color="auto"/>
            </w:tcBorders>
            <w:shd w:val="clear" w:color="000000" w:fill="FFFFFF"/>
            <w:noWrap/>
            <w:vAlign w:val="center"/>
            <w:hideMark/>
          </w:tcPr>
          <w:p w14:paraId="35B469AF" w14:textId="367F0FA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10,1%</w:t>
            </w:r>
          </w:p>
        </w:tc>
        <w:tc>
          <w:tcPr>
            <w:tcW w:w="601" w:type="dxa"/>
            <w:tcBorders>
              <w:top w:val="nil"/>
              <w:left w:val="nil"/>
              <w:bottom w:val="single" w:sz="4" w:space="0" w:color="auto"/>
              <w:right w:val="single" w:sz="4" w:space="0" w:color="auto"/>
            </w:tcBorders>
            <w:shd w:val="clear" w:color="000000" w:fill="FFFFFF"/>
            <w:noWrap/>
            <w:vAlign w:val="center"/>
            <w:hideMark/>
          </w:tcPr>
          <w:p w14:paraId="65473005" w14:textId="520E3932"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w:t>
            </w:r>
          </w:p>
        </w:tc>
      </w:tr>
      <w:tr w:rsidR="005F41EC" w:rsidRPr="00D55857" w14:paraId="446C5A86"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59ADC658" w14:textId="69AF9D52"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Finlande</w:t>
            </w:r>
          </w:p>
        </w:tc>
        <w:tc>
          <w:tcPr>
            <w:tcW w:w="1369" w:type="dxa"/>
            <w:tcBorders>
              <w:top w:val="nil"/>
              <w:left w:val="nil"/>
              <w:bottom w:val="single" w:sz="4" w:space="0" w:color="auto"/>
              <w:right w:val="single" w:sz="4" w:space="0" w:color="auto"/>
            </w:tcBorders>
            <w:shd w:val="clear" w:color="000000" w:fill="FFFFFF"/>
            <w:noWrap/>
            <w:vAlign w:val="center"/>
            <w:hideMark/>
          </w:tcPr>
          <w:p w14:paraId="7A9F0F08" w14:textId="7460815B"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1 201</w:t>
            </w:r>
          </w:p>
        </w:tc>
        <w:tc>
          <w:tcPr>
            <w:tcW w:w="805" w:type="dxa"/>
            <w:tcBorders>
              <w:top w:val="nil"/>
              <w:left w:val="nil"/>
              <w:bottom w:val="single" w:sz="4" w:space="0" w:color="auto"/>
              <w:right w:val="single" w:sz="4" w:space="0" w:color="auto"/>
            </w:tcBorders>
            <w:shd w:val="clear" w:color="000000" w:fill="FFFFFF"/>
            <w:noWrap/>
            <w:vAlign w:val="center"/>
            <w:hideMark/>
          </w:tcPr>
          <w:p w14:paraId="4310A9C8" w14:textId="3E8E273F"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5,5%</w:t>
            </w:r>
          </w:p>
        </w:tc>
        <w:tc>
          <w:tcPr>
            <w:tcW w:w="601" w:type="dxa"/>
            <w:tcBorders>
              <w:top w:val="nil"/>
              <w:left w:val="nil"/>
              <w:bottom w:val="single" w:sz="4" w:space="0" w:color="auto"/>
              <w:right w:val="single" w:sz="4" w:space="0" w:color="auto"/>
            </w:tcBorders>
            <w:shd w:val="clear" w:color="000000" w:fill="FFFFFF"/>
            <w:noWrap/>
            <w:vAlign w:val="center"/>
            <w:hideMark/>
          </w:tcPr>
          <w:p w14:paraId="714E2B81" w14:textId="147C61CC"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5</w:t>
            </w:r>
          </w:p>
        </w:tc>
        <w:tc>
          <w:tcPr>
            <w:tcW w:w="1328" w:type="dxa"/>
            <w:tcBorders>
              <w:top w:val="nil"/>
              <w:left w:val="nil"/>
              <w:bottom w:val="single" w:sz="4" w:space="0" w:color="auto"/>
              <w:right w:val="single" w:sz="4" w:space="0" w:color="auto"/>
            </w:tcBorders>
            <w:shd w:val="clear" w:color="000000" w:fill="FFFFFF"/>
            <w:noWrap/>
            <w:vAlign w:val="center"/>
            <w:hideMark/>
          </w:tcPr>
          <w:p w14:paraId="5EE7E980" w14:textId="2E78650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1 060</w:t>
            </w:r>
          </w:p>
        </w:tc>
        <w:tc>
          <w:tcPr>
            <w:tcW w:w="894" w:type="dxa"/>
            <w:tcBorders>
              <w:top w:val="nil"/>
              <w:left w:val="nil"/>
              <w:bottom w:val="single" w:sz="4" w:space="0" w:color="auto"/>
              <w:right w:val="single" w:sz="4" w:space="0" w:color="auto"/>
            </w:tcBorders>
            <w:shd w:val="clear" w:color="000000" w:fill="FFFFFF"/>
            <w:noWrap/>
            <w:vAlign w:val="center"/>
            <w:hideMark/>
          </w:tcPr>
          <w:p w14:paraId="01F5B43D" w14:textId="3690F2D5"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4,5%</w:t>
            </w:r>
          </w:p>
        </w:tc>
        <w:tc>
          <w:tcPr>
            <w:tcW w:w="602" w:type="dxa"/>
            <w:tcBorders>
              <w:top w:val="nil"/>
              <w:left w:val="nil"/>
              <w:bottom w:val="single" w:sz="4" w:space="0" w:color="auto"/>
              <w:right w:val="single" w:sz="4" w:space="0" w:color="auto"/>
            </w:tcBorders>
            <w:shd w:val="clear" w:color="000000" w:fill="FFFFFF"/>
            <w:noWrap/>
            <w:vAlign w:val="center"/>
            <w:hideMark/>
          </w:tcPr>
          <w:p w14:paraId="4A102861" w14:textId="6B78587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5</w:t>
            </w:r>
          </w:p>
        </w:tc>
        <w:tc>
          <w:tcPr>
            <w:tcW w:w="1328" w:type="dxa"/>
            <w:tcBorders>
              <w:top w:val="nil"/>
              <w:left w:val="nil"/>
              <w:bottom w:val="single" w:sz="4" w:space="0" w:color="auto"/>
              <w:right w:val="single" w:sz="4" w:space="0" w:color="auto"/>
            </w:tcBorders>
            <w:shd w:val="clear" w:color="000000" w:fill="FFFFFF"/>
            <w:noWrap/>
            <w:vAlign w:val="center"/>
            <w:hideMark/>
          </w:tcPr>
          <w:p w14:paraId="68E9EF20" w14:textId="6376886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911</w:t>
            </w:r>
          </w:p>
        </w:tc>
        <w:tc>
          <w:tcPr>
            <w:tcW w:w="894" w:type="dxa"/>
            <w:tcBorders>
              <w:top w:val="nil"/>
              <w:left w:val="nil"/>
              <w:bottom w:val="single" w:sz="4" w:space="0" w:color="auto"/>
              <w:right w:val="single" w:sz="4" w:space="0" w:color="auto"/>
            </w:tcBorders>
            <w:shd w:val="clear" w:color="000000" w:fill="FFFFFF"/>
            <w:noWrap/>
            <w:vAlign w:val="center"/>
            <w:hideMark/>
          </w:tcPr>
          <w:p w14:paraId="71877FF4" w14:textId="4B3862E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3,4%</w:t>
            </w:r>
          </w:p>
        </w:tc>
        <w:tc>
          <w:tcPr>
            <w:tcW w:w="601" w:type="dxa"/>
            <w:tcBorders>
              <w:top w:val="nil"/>
              <w:left w:val="nil"/>
              <w:bottom w:val="single" w:sz="4" w:space="0" w:color="auto"/>
              <w:right w:val="single" w:sz="4" w:space="0" w:color="auto"/>
            </w:tcBorders>
            <w:shd w:val="clear" w:color="000000" w:fill="FFFFFF"/>
            <w:noWrap/>
            <w:vAlign w:val="center"/>
            <w:hideMark/>
          </w:tcPr>
          <w:p w14:paraId="7644B1F7" w14:textId="7764F89E"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8</w:t>
            </w:r>
          </w:p>
        </w:tc>
      </w:tr>
      <w:tr w:rsidR="005F41EC" w:rsidRPr="00D55857" w14:paraId="3E3F5483"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BD9A205" w14:textId="3B806B50"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Pays-Bas</w:t>
            </w:r>
          </w:p>
        </w:tc>
        <w:tc>
          <w:tcPr>
            <w:tcW w:w="1369" w:type="dxa"/>
            <w:tcBorders>
              <w:top w:val="nil"/>
              <w:left w:val="nil"/>
              <w:bottom w:val="single" w:sz="4" w:space="0" w:color="auto"/>
              <w:right w:val="single" w:sz="4" w:space="0" w:color="auto"/>
            </w:tcBorders>
            <w:shd w:val="clear" w:color="000000" w:fill="FFFFFF"/>
            <w:noWrap/>
            <w:vAlign w:val="center"/>
            <w:hideMark/>
          </w:tcPr>
          <w:p w14:paraId="37295D67" w14:textId="7D2E433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1 039</w:t>
            </w:r>
          </w:p>
        </w:tc>
        <w:tc>
          <w:tcPr>
            <w:tcW w:w="805" w:type="dxa"/>
            <w:tcBorders>
              <w:top w:val="nil"/>
              <w:left w:val="nil"/>
              <w:bottom w:val="single" w:sz="4" w:space="0" w:color="auto"/>
              <w:right w:val="single" w:sz="4" w:space="0" w:color="auto"/>
            </w:tcBorders>
            <w:shd w:val="clear" w:color="000000" w:fill="FFFFFF"/>
            <w:noWrap/>
            <w:vAlign w:val="center"/>
            <w:hideMark/>
          </w:tcPr>
          <w:p w14:paraId="48F10C1D" w14:textId="68356E4E"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4,8%</w:t>
            </w:r>
          </w:p>
        </w:tc>
        <w:tc>
          <w:tcPr>
            <w:tcW w:w="601" w:type="dxa"/>
            <w:tcBorders>
              <w:top w:val="nil"/>
              <w:left w:val="nil"/>
              <w:bottom w:val="single" w:sz="4" w:space="0" w:color="auto"/>
              <w:right w:val="single" w:sz="4" w:space="0" w:color="auto"/>
            </w:tcBorders>
            <w:shd w:val="clear" w:color="000000" w:fill="FFFFFF"/>
            <w:noWrap/>
            <w:vAlign w:val="center"/>
            <w:hideMark/>
          </w:tcPr>
          <w:p w14:paraId="626A8A40" w14:textId="5B6CA72B"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6</w:t>
            </w:r>
          </w:p>
        </w:tc>
        <w:tc>
          <w:tcPr>
            <w:tcW w:w="1328" w:type="dxa"/>
            <w:tcBorders>
              <w:top w:val="nil"/>
              <w:left w:val="nil"/>
              <w:bottom w:val="single" w:sz="4" w:space="0" w:color="auto"/>
              <w:right w:val="single" w:sz="4" w:space="0" w:color="auto"/>
            </w:tcBorders>
            <w:shd w:val="clear" w:color="000000" w:fill="FFFFFF"/>
            <w:noWrap/>
            <w:vAlign w:val="center"/>
            <w:hideMark/>
          </w:tcPr>
          <w:p w14:paraId="2C46B1A9" w14:textId="6838AEE3"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1 030</w:t>
            </w:r>
          </w:p>
        </w:tc>
        <w:tc>
          <w:tcPr>
            <w:tcW w:w="894" w:type="dxa"/>
            <w:tcBorders>
              <w:top w:val="nil"/>
              <w:left w:val="nil"/>
              <w:bottom w:val="single" w:sz="4" w:space="0" w:color="auto"/>
              <w:right w:val="single" w:sz="4" w:space="0" w:color="auto"/>
            </w:tcBorders>
            <w:shd w:val="clear" w:color="000000" w:fill="FFFFFF"/>
            <w:noWrap/>
            <w:vAlign w:val="center"/>
            <w:hideMark/>
          </w:tcPr>
          <w:p w14:paraId="2F1A7644" w14:textId="0898C2D0"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4,4%</w:t>
            </w:r>
          </w:p>
        </w:tc>
        <w:tc>
          <w:tcPr>
            <w:tcW w:w="602" w:type="dxa"/>
            <w:tcBorders>
              <w:top w:val="nil"/>
              <w:left w:val="nil"/>
              <w:bottom w:val="single" w:sz="4" w:space="0" w:color="auto"/>
              <w:right w:val="single" w:sz="4" w:space="0" w:color="auto"/>
            </w:tcBorders>
            <w:shd w:val="clear" w:color="000000" w:fill="FFFFFF"/>
            <w:noWrap/>
            <w:vAlign w:val="center"/>
            <w:hideMark/>
          </w:tcPr>
          <w:p w14:paraId="2537C853" w14:textId="0DC5B835"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6</w:t>
            </w:r>
          </w:p>
        </w:tc>
        <w:tc>
          <w:tcPr>
            <w:tcW w:w="1328" w:type="dxa"/>
            <w:tcBorders>
              <w:top w:val="nil"/>
              <w:left w:val="nil"/>
              <w:bottom w:val="single" w:sz="4" w:space="0" w:color="auto"/>
              <w:right w:val="single" w:sz="4" w:space="0" w:color="auto"/>
            </w:tcBorders>
            <w:shd w:val="clear" w:color="000000" w:fill="FFFFFF"/>
            <w:noWrap/>
            <w:vAlign w:val="center"/>
            <w:hideMark/>
          </w:tcPr>
          <w:p w14:paraId="680CE5C7" w14:textId="14213795"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1 049</w:t>
            </w:r>
          </w:p>
        </w:tc>
        <w:tc>
          <w:tcPr>
            <w:tcW w:w="894" w:type="dxa"/>
            <w:tcBorders>
              <w:top w:val="nil"/>
              <w:left w:val="nil"/>
              <w:bottom w:val="single" w:sz="4" w:space="0" w:color="auto"/>
              <w:right w:val="single" w:sz="4" w:space="0" w:color="auto"/>
            </w:tcBorders>
            <w:shd w:val="clear" w:color="000000" w:fill="FFFFFF"/>
            <w:noWrap/>
            <w:vAlign w:val="center"/>
            <w:hideMark/>
          </w:tcPr>
          <w:p w14:paraId="51D7E406" w14:textId="4657766D"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4,0%</w:t>
            </w:r>
          </w:p>
        </w:tc>
        <w:tc>
          <w:tcPr>
            <w:tcW w:w="601" w:type="dxa"/>
            <w:tcBorders>
              <w:top w:val="nil"/>
              <w:left w:val="nil"/>
              <w:bottom w:val="single" w:sz="4" w:space="0" w:color="auto"/>
              <w:right w:val="single" w:sz="4" w:space="0" w:color="auto"/>
            </w:tcBorders>
            <w:shd w:val="clear" w:color="000000" w:fill="FFFFFF"/>
            <w:noWrap/>
            <w:vAlign w:val="center"/>
            <w:hideMark/>
          </w:tcPr>
          <w:p w14:paraId="6253A720" w14:textId="70CD60A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6</w:t>
            </w:r>
          </w:p>
        </w:tc>
      </w:tr>
      <w:tr w:rsidR="005F41EC" w:rsidRPr="00D55857" w14:paraId="300D80AF"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1E99EFEC" w14:textId="43A83293"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Chine</w:t>
            </w:r>
          </w:p>
        </w:tc>
        <w:tc>
          <w:tcPr>
            <w:tcW w:w="1369" w:type="dxa"/>
            <w:tcBorders>
              <w:top w:val="nil"/>
              <w:left w:val="nil"/>
              <w:bottom w:val="single" w:sz="4" w:space="0" w:color="auto"/>
              <w:right w:val="single" w:sz="4" w:space="0" w:color="auto"/>
            </w:tcBorders>
            <w:shd w:val="clear" w:color="000000" w:fill="FFFFFF"/>
            <w:noWrap/>
            <w:vAlign w:val="center"/>
            <w:hideMark/>
          </w:tcPr>
          <w:p w14:paraId="1295EB68" w14:textId="403AA303"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831</w:t>
            </w:r>
          </w:p>
        </w:tc>
        <w:tc>
          <w:tcPr>
            <w:tcW w:w="805" w:type="dxa"/>
            <w:tcBorders>
              <w:top w:val="nil"/>
              <w:left w:val="nil"/>
              <w:bottom w:val="single" w:sz="4" w:space="0" w:color="auto"/>
              <w:right w:val="single" w:sz="4" w:space="0" w:color="auto"/>
            </w:tcBorders>
            <w:shd w:val="clear" w:color="000000" w:fill="FFFFFF"/>
            <w:noWrap/>
            <w:vAlign w:val="center"/>
            <w:hideMark/>
          </w:tcPr>
          <w:p w14:paraId="1C74B0E0" w14:textId="6F5DBC1A"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3,8%</w:t>
            </w:r>
          </w:p>
        </w:tc>
        <w:tc>
          <w:tcPr>
            <w:tcW w:w="601" w:type="dxa"/>
            <w:tcBorders>
              <w:top w:val="nil"/>
              <w:left w:val="nil"/>
              <w:bottom w:val="single" w:sz="4" w:space="0" w:color="auto"/>
              <w:right w:val="single" w:sz="4" w:space="0" w:color="auto"/>
            </w:tcBorders>
            <w:shd w:val="clear" w:color="000000" w:fill="FFFFFF"/>
            <w:noWrap/>
            <w:vAlign w:val="center"/>
            <w:hideMark/>
          </w:tcPr>
          <w:p w14:paraId="43B24EC7" w14:textId="10F3C4E9"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w:t>
            </w:r>
          </w:p>
        </w:tc>
        <w:tc>
          <w:tcPr>
            <w:tcW w:w="1328" w:type="dxa"/>
            <w:tcBorders>
              <w:top w:val="nil"/>
              <w:left w:val="nil"/>
              <w:bottom w:val="single" w:sz="4" w:space="0" w:color="auto"/>
              <w:right w:val="single" w:sz="4" w:space="0" w:color="auto"/>
            </w:tcBorders>
            <w:shd w:val="clear" w:color="000000" w:fill="FFFFFF"/>
            <w:noWrap/>
            <w:vAlign w:val="center"/>
            <w:hideMark/>
          </w:tcPr>
          <w:p w14:paraId="2A84F41F" w14:textId="11B98C1E"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866</w:t>
            </w:r>
          </w:p>
        </w:tc>
        <w:tc>
          <w:tcPr>
            <w:tcW w:w="894" w:type="dxa"/>
            <w:tcBorders>
              <w:top w:val="nil"/>
              <w:left w:val="nil"/>
              <w:bottom w:val="single" w:sz="4" w:space="0" w:color="auto"/>
              <w:right w:val="single" w:sz="4" w:space="0" w:color="auto"/>
            </w:tcBorders>
            <w:shd w:val="clear" w:color="000000" w:fill="FFFFFF"/>
            <w:noWrap/>
            <w:vAlign w:val="center"/>
            <w:hideMark/>
          </w:tcPr>
          <w:p w14:paraId="49961C35" w14:textId="4151312B"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3,7%</w:t>
            </w:r>
          </w:p>
        </w:tc>
        <w:tc>
          <w:tcPr>
            <w:tcW w:w="602" w:type="dxa"/>
            <w:tcBorders>
              <w:top w:val="nil"/>
              <w:left w:val="nil"/>
              <w:bottom w:val="single" w:sz="4" w:space="0" w:color="auto"/>
              <w:right w:val="single" w:sz="4" w:space="0" w:color="auto"/>
            </w:tcBorders>
            <w:shd w:val="clear" w:color="000000" w:fill="FFFFFF"/>
            <w:noWrap/>
            <w:vAlign w:val="center"/>
            <w:hideMark/>
          </w:tcPr>
          <w:p w14:paraId="1EC4FA04" w14:textId="6F4CA3D7"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w:t>
            </w:r>
          </w:p>
        </w:tc>
        <w:tc>
          <w:tcPr>
            <w:tcW w:w="1328" w:type="dxa"/>
            <w:tcBorders>
              <w:top w:val="nil"/>
              <w:left w:val="nil"/>
              <w:bottom w:val="single" w:sz="4" w:space="0" w:color="auto"/>
              <w:right w:val="single" w:sz="4" w:space="0" w:color="auto"/>
            </w:tcBorders>
            <w:shd w:val="clear" w:color="000000" w:fill="FFFFFF"/>
            <w:noWrap/>
            <w:vAlign w:val="center"/>
            <w:hideMark/>
          </w:tcPr>
          <w:p w14:paraId="05B8405A" w14:textId="4513FE8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994</w:t>
            </w:r>
          </w:p>
        </w:tc>
        <w:tc>
          <w:tcPr>
            <w:tcW w:w="894" w:type="dxa"/>
            <w:tcBorders>
              <w:top w:val="nil"/>
              <w:left w:val="nil"/>
              <w:bottom w:val="single" w:sz="4" w:space="0" w:color="auto"/>
              <w:right w:val="single" w:sz="4" w:space="0" w:color="auto"/>
            </w:tcBorders>
            <w:shd w:val="clear" w:color="000000" w:fill="FFFFFF"/>
            <w:noWrap/>
            <w:vAlign w:val="center"/>
            <w:hideMark/>
          </w:tcPr>
          <w:p w14:paraId="08896875" w14:textId="220DC142"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3,8%</w:t>
            </w:r>
          </w:p>
        </w:tc>
        <w:tc>
          <w:tcPr>
            <w:tcW w:w="601" w:type="dxa"/>
            <w:tcBorders>
              <w:top w:val="nil"/>
              <w:left w:val="nil"/>
              <w:bottom w:val="single" w:sz="4" w:space="0" w:color="auto"/>
              <w:right w:val="single" w:sz="4" w:space="0" w:color="auto"/>
            </w:tcBorders>
            <w:shd w:val="clear" w:color="000000" w:fill="FFFFFF"/>
            <w:noWrap/>
            <w:vAlign w:val="center"/>
            <w:hideMark/>
          </w:tcPr>
          <w:p w14:paraId="1A7906FB" w14:textId="1F3B96C2"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w:t>
            </w:r>
          </w:p>
        </w:tc>
      </w:tr>
      <w:tr w:rsidR="005F41EC" w:rsidRPr="00D55857" w14:paraId="5B552053"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110E8794" w14:textId="1E96760A"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Italie</w:t>
            </w:r>
          </w:p>
        </w:tc>
        <w:tc>
          <w:tcPr>
            <w:tcW w:w="1369" w:type="dxa"/>
            <w:tcBorders>
              <w:top w:val="nil"/>
              <w:left w:val="nil"/>
              <w:bottom w:val="single" w:sz="4" w:space="0" w:color="auto"/>
              <w:right w:val="single" w:sz="4" w:space="0" w:color="auto"/>
            </w:tcBorders>
            <w:shd w:val="clear" w:color="000000" w:fill="FFFFFF"/>
            <w:noWrap/>
            <w:vAlign w:val="center"/>
            <w:hideMark/>
          </w:tcPr>
          <w:p w14:paraId="7573EF9C" w14:textId="2D73D7B3"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750</w:t>
            </w:r>
          </w:p>
        </w:tc>
        <w:tc>
          <w:tcPr>
            <w:tcW w:w="805" w:type="dxa"/>
            <w:tcBorders>
              <w:top w:val="nil"/>
              <w:left w:val="nil"/>
              <w:bottom w:val="single" w:sz="4" w:space="0" w:color="auto"/>
              <w:right w:val="single" w:sz="4" w:space="0" w:color="auto"/>
            </w:tcBorders>
            <w:shd w:val="clear" w:color="000000" w:fill="FFFFFF"/>
            <w:noWrap/>
            <w:vAlign w:val="center"/>
            <w:hideMark/>
          </w:tcPr>
          <w:p w14:paraId="7BBC325F" w14:textId="577B23C7"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3,5%</w:t>
            </w:r>
          </w:p>
        </w:tc>
        <w:tc>
          <w:tcPr>
            <w:tcW w:w="601" w:type="dxa"/>
            <w:tcBorders>
              <w:top w:val="nil"/>
              <w:left w:val="nil"/>
              <w:bottom w:val="single" w:sz="4" w:space="0" w:color="auto"/>
              <w:right w:val="single" w:sz="4" w:space="0" w:color="auto"/>
            </w:tcBorders>
            <w:shd w:val="clear" w:color="000000" w:fill="FFFFFF"/>
            <w:noWrap/>
            <w:vAlign w:val="center"/>
            <w:hideMark/>
          </w:tcPr>
          <w:p w14:paraId="7DE56CB4" w14:textId="3D778209"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8</w:t>
            </w:r>
          </w:p>
        </w:tc>
        <w:tc>
          <w:tcPr>
            <w:tcW w:w="1328" w:type="dxa"/>
            <w:tcBorders>
              <w:top w:val="nil"/>
              <w:left w:val="nil"/>
              <w:bottom w:val="single" w:sz="4" w:space="0" w:color="auto"/>
              <w:right w:val="single" w:sz="4" w:space="0" w:color="auto"/>
            </w:tcBorders>
            <w:shd w:val="clear" w:color="000000" w:fill="FFFFFF"/>
            <w:noWrap/>
            <w:vAlign w:val="center"/>
            <w:hideMark/>
          </w:tcPr>
          <w:p w14:paraId="658841E1" w14:textId="065E3F9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849</w:t>
            </w:r>
          </w:p>
        </w:tc>
        <w:tc>
          <w:tcPr>
            <w:tcW w:w="894" w:type="dxa"/>
            <w:tcBorders>
              <w:top w:val="nil"/>
              <w:left w:val="nil"/>
              <w:bottom w:val="single" w:sz="4" w:space="0" w:color="auto"/>
              <w:right w:val="single" w:sz="4" w:space="0" w:color="auto"/>
            </w:tcBorders>
            <w:shd w:val="clear" w:color="000000" w:fill="FFFFFF"/>
            <w:noWrap/>
            <w:vAlign w:val="center"/>
            <w:hideMark/>
          </w:tcPr>
          <w:p w14:paraId="375444C2" w14:textId="174077C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3,6%</w:t>
            </w:r>
          </w:p>
        </w:tc>
        <w:tc>
          <w:tcPr>
            <w:tcW w:w="602" w:type="dxa"/>
            <w:tcBorders>
              <w:top w:val="nil"/>
              <w:left w:val="nil"/>
              <w:bottom w:val="single" w:sz="4" w:space="0" w:color="auto"/>
              <w:right w:val="single" w:sz="4" w:space="0" w:color="auto"/>
            </w:tcBorders>
            <w:shd w:val="clear" w:color="000000" w:fill="FFFFFF"/>
            <w:noWrap/>
            <w:vAlign w:val="center"/>
            <w:hideMark/>
          </w:tcPr>
          <w:p w14:paraId="36DE8F28" w14:textId="63FA0AE4"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8</w:t>
            </w:r>
          </w:p>
        </w:tc>
        <w:tc>
          <w:tcPr>
            <w:tcW w:w="1328" w:type="dxa"/>
            <w:tcBorders>
              <w:top w:val="nil"/>
              <w:left w:val="nil"/>
              <w:bottom w:val="single" w:sz="4" w:space="0" w:color="auto"/>
              <w:right w:val="single" w:sz="4" w:space="0" w:color="auto"/>
            </w:tcBorders>
            <w:shd w:val="clear" w:color="000000" w:fill="FFFFFF"/>
            <w:noWrap/>
            <w:vAlign w:val="center"/>
            <w:hideMark/>
          </w:tcPr>
          <w:p w14:paraId="1326D2B7" w14:textId="05727531"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757</w:t>
            </w:r>
          </w:p>
        </w:tc>
        <w:tc>
          <w:tcPr>
            <w:tcW w:w="894" w:type="dxa"/>
            <w:tcBorders>
              <w:top w:val="nil"/>
              <w:left w:val="nil"/>
              <w:bottom w:val="single" w:sz="4" w:space="0" w:color="auto"/>
              <w:right w:val="single" w:sz="4" w:space="0" w:color="auto"/>
            </w:tcBorders>
            <w:shd w:val="clear" w:color="000000" w:fill="FFFFFF"/>
            <w:noWrap/>
            <w:vAlign w:val="center"/>
            <w:hideMark/>
          </w:tcPr>
          <w:p w14:paraId="536E8082" w14:textId="2FBBDB2D"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2,9%</w:t>
            </w:r>
          </w:p>
        </w:tc>
        <w:tc>
          <w:tcPr>
            <w:tcW w:w="601" w:type="dxa"/>
            <w:tcBorders>
              <w:top w:val="nil"/>
              <w:left w:val="nil"/>
              <w:bottom w:val="single" w:sz="4" w:space="0" w:color="auto"/>
              <w:right w:val="single" w:sz="4" w:space="0" w:color="auto"/>
            </w:tcBorders>
            <w:shd w:val="clear" w:color="000000" w:fill="FFFFFF"/>
            <w:noWrap/>
            <w:vAlign w:val="center"/>
            <w:hideMark/>
          </w:tcPr>
          <w:p w14:paraId="5144E6BF" w14:textId="74D743B7"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9</w:t>
            </w:r>
          </w:p>
        </w:tc>
      </w:tr>
      <w:tr w:rsidR="005F41EC" w:rsidRPr="00D55857" w14:paraId="5A1FB604"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6BC6026A" w14:textId="1BB86C05"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Suède</w:t>
            </w:r>
          </w:p>
        </w:tc>
        <w:tc>
          <w:tcPr>
            <w:tcW w:w="1369" w:type="dxa"/>
            <w:tcBorders>
              <w:top w:val="nil"/>
              <w:left w:val="nil"/>
              <w:bottom w:val="single" w:sz="4" w:space="0" w:color="auto"/>
              <w:right w:val="single" w:sz="4" w:space="0" w:color="auto"/>
            </w:tcBorders>
            <w:shd w:val="clear" w:color="000000" w:fill="FFFFFF"/>
            <w:noWrap/>
            <w:vAlign w:val="center"/>
            <w:hideMark/>
          </w:tcPr>
          <w:p w14:paraId="26579CC9" w14:textId="7186A00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707</w:t>
            </w:r>
          </w:p>
        </w:tc>
        <w:tc>
          <w:tcPr>
            <w:tcW w:w="805" w:type="dxa"/>
            <w:tcBorders>
              <w:top w:val="nil"/>
              <w:left w:val="nil"/>
              <w:bottom w:val="single" w:sz="4" w:space="0" w:color="auto"/>
              <w:right w:val="single" w:sz="4" w:space="0" w:color="auto"/>
            </w:tcBorders>
            <w:shd w:val="clear" w:color="000000" w:fill="FFFFFF"/>
            <w:noWrap/>
            <w:vAlign w:val="center"/>
            <w:hideMark/>
          </w:tcPr>
          <w:p w14:paraId="0A26A3AA" w14:textId="08883406"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3,3%</w:t>
            </w:r>
          </w:p>
        </w:tc>
        <w:tc>
          <w:tcPr>
            <w:tcW w:w="601" w:type="dxa"/>
            <w:tcBorders>
              <w:top w:val="nil"/>
              <w:left w:val="nil"/>
              <w:bottom w:val="single" w:sz="4" w:space="0" w:color="auto"/>
              <w:right w:val="single" w:sz="4" w:space="0" w:color="auto"/>
            </w:tcBorders>
            <w:shd w:val="clear" w:color="000000" w:fill="FFFFFF"/>
            <w:noWrap/>
            <w:vAlign w:val="center"/>
            <w:hideMark/>
          </w:tcPr>
          <w:p w14:paraId="07615FAB" w14:textId="4F0165AF"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9</w:t>
            </w:r>
          </w:p>
        </w:tc>
        <w:tc>
          <w:tcPr>
            <w:tcW w:w="1328" w:type="dxa"/>
            <w:tcBorders>
              <w:top w:val="nil"/>
              <w:left w:val="nil"/>
              <w:bottom w:val="single" w:sz="4" w:space="0" w:color="auto"/>
              <w:right w:val="single" w:sz="4" w:space="0" w:color="auto"/>
            </w:tcBorders>
            <w:shd w:val="clear" w:color="000000" w:fill="FFFFFF"/>
            <w:noWrap/>
            <w:vAlign w:val="center"/>
            <w:hideMark/>
          </w:tcPr>
          <w:p w14:paraId="3D9FCB5C" w14:textId="31FA6EF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729</w:t>
            </w:r>
          </w:p>
        </w:tc>
        <w:tc>
          <w:tcPr>
            <w:tcW w:w="894" w:type="dxa"/>
            <w:tcBorders>
              <w:top w:val="nil"/>
              <w:left w:val="nil"/>
              <w:bottom w:val="single" w:sz="4" w:space="0" w:color="auto"/>
              <w:right w:val="single" w:sz="4" w:space="0" w:color="auto"/>
            </w:tcBorders>
            <w:shd w:val="clear" w:color="000000" w:fill="FFFFFF"/>
            <w:noWrap/>
            <w:vAlign w:val="center"/>
            <w:hideMark/>
          </w:tcPr>
          <w:p w14:paraId="364950A7" w14:textId="5C8DC71F"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3,1%</w:t>
            </w:r>
          </w:p>
        </w:tc>
        <w:tc>
          <w:tcPr>
            <w:tcW w:w="602" w:type="dxa"/>
            <w:tcBorders>
              <w:top w:val="nil"/>
              <w:left w:val="nil"/>
              <w:bottom w:val="single" w:sz="4" w:space="0" w:color="auto"/>
              <w:right w:val="single" w:sz="4" w:space="0" w:color="auto"/>
            </w:tcBorders>
            <w:shd w:val="clear" w:color="000000" w:fill="FFFFFF"/>
            <w:noWrap/>
            <w:vAlign w:val="center"/>
            <w:hideMark/>
          </w:tcPr>
          <w:p w14:paraId="35A7F467" w14:textId="46F179C4"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9</w:t>
            </w:r>
          </w:p>
        </w:tc>
        <w:tc>
          <w:tcPr>
            <w:tcW w:w="1328" w:type="dxa"/>
            <w:tcBorders>
              <w:top w:val="nil"/>
              <w:left w:val="nil"/>
              <w:bottom w:val="single" w:sz="4" w:space="0" w:color="auto"/>
              <w:right w:val="single" w:sz="4" w:space="0" w:color="auto"/>
            </w:tcBorders>
            <w:shd w:val="clear" w:color="000000" w:fill="FFFFFF"/>
            <w:noWrap/>
            <w:vAlign w:val="center"/>
            <w:hideMark/>
          </w:tcPr>
          <w:p w14:paraId="0757F62D" w14:textId="7C7DC80C"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707</w:t>
            </w:r>
          </w:p>
        </w:tc>
        <w:tc>
          <w:tcPr>
            <w:tcW w:w="894" w:type="dxa"/>
            <w:tcBorders>
              <w:top w:val="nil"/>
              <w:left w:val="nil"/>
              <w:bottom w:val="single" w:sz="4" w:space="0" w:color="auto"/>
              <w:right w:val="single" w:sz="4" w:space="0" w:color="auto"/>
            </w:tcBorders>
            <w:shd w:val="clear" w:color="000000" w:fill="FFFFFF"/>
            <w:noWrap/>
            <w:vAlign w:val="center"/>
            <w:hideMark/>
          </w:tcPr>
          <w:p w14:paraId="548BDF42" w14:textId="68AE3C97"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2,7%</w:t>
            </w:r>
          </w:p>
        </w:tc>
        <w:tc>
          <w:tcPr>
            <w:tcW w:w="601" w:type="dxa"/>
            <w:tcBorders>
              <w:top w:val="nil"/>
              <w:left w:val="nil"/>
              <w:bottom w:val="single" w:sz="4" w:space="0" w:color="auto"/>
              <w:right w:val="single" w:sz="4" w:space="0" w:color="auto"/>
            </w:tcBorders>
            <w:shd w:val="clear" w:color="000000" w:fill="FFFFFF"/>
            <w:noWrap/>
            <w:vAlign w:val="center"/>
            <w:hideMark/>
          </w:tcPr>
          <w:p w14:paraId="1500C8B0" w14:textId="4F7ECDB4"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10</w:t>
            </w:r>
          </w:p>
        </w:tc>
      </w:tr>
      <w:tr w:rsidR="005F41EC" w:rsidRPr="00D55857" w14:paraId="52A648D4"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D96AC7F" w14:textId="5DF7F765"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Belgique</w:t>
            </w:r>
          </w:p>
        </w:tc>
        <w:tc>
          <w:tcPr>
            <w:tcW w:w="1369" w:type="dxa"/>
            <w:tcBorders>
              <w:top w:val="nil"/>
              <w:left w:val="nil"/>
              <w:bottom w:val="single" w:sz="4" w:space="0" w:color="auto"/>
              <w:right w:val="single" w:sz="4" w:space="0" w:color="auto"/>
            </w:tcBorders>
            <w:shd w:val="clear" w:color="000000" w:fill="FFFFFF"/>
            <w:noWrap/>
            <w:vAlign w:val="center"/>
            <w:hideMark/>
          </w:tcPr>
          <w:p w14:paraId="68642CF8" w14:textId="4135063F"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457</w:t>
            </w:r>
          </w:p>
        </w:tc>
        <w:tc>
          <w:tcPr>
            <w:tcW w:w="805" w:type="dxa"/>
            <w:tcBorders>
              <w:top w:val="nil"/>
              <w:left w:val="nil"/>
              <w:bottom w:val="single" w:sz="4" w:space="0" w:color="auto"/>
              <w:right w:val="single" w:sz="4" w:space="0" w:color="auto"/>
            </w:tcBorders>
            <w:shd w:val="clear" w:color="000000" w:fill="FFFFFF"/>
            <w:noWrap/>
            <w:vAlign w:val="center"/>
            <w:hideMark/>
          </w:tcPr>
          <w:p w14:paraId="661E2612" w14:textId="7EDCC1D3"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2,1%</w:t>
            </w:r>
          </w:p>
        </w:tc>
        <w:tc>
          <w:tcPr>
            <w:tcW w:w="601" w:type="dxa"/>
            <w:tcBorders>
              <w:top w:val="nil"/>
              <w:left w:val="nil"/>
              <w:bottom w:val="single" w:sz="4" w:space="0" w:color="auto"/>
              <w:right w:val="single" w:sz="4" w:space="0" w:color="auto"/>
            </w:tcBorders>
            <w:shd w:val="clear" w:color="000000" w:fill="FFFFFF"/>
            <w:noWrap/>
            <w:vAlign w:val="center"/>
            <w:hideMark/>
          </w:tcPr>
          <w:p w14:paraId="2DA763AC" w14:textId="44183D18"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10</w:t>
            </w:r>
          </w:p>
        </w:tc>
        <w:tc>
          <w:tcPr>
            <w:tcW w:w="1328" w:type="dxa"/>
            <w:tcBorders>
              <w:top w:val="nil"/>
              <w:left w:val="nil"/>
              <w:bottom w:val="single" w:sz="4" w:space="0" w:color="auto"/>
              <w:right w:val="single" w:sz="4" w:space="0" w:color="auto"/>
            </w:tcBorders>
            <w:shd w:val="clear" w:color="000000" w:fill="FFFFFF"/>
            <w:noWrap/>
            <w:vAlign w:val="center"/>
            <w:hideMark/>
          </w:tcPr>
          <w:p w14:paraId="09A77CE1" w14:textId="41603FE1"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488</w:t>
            </w:r>
          </w:p>
        </w:tc>
        <w:tc>
          <w:tcPr>
            <w:tcW w:w="894" w:type="dxa"/>
            <w:tcBorders>
              <w:top w:val="nil"/>
              <w:left w:val="nil"/>
              <w:bottom w:val="single" w:sz="4" w:space="0" w:color="auto"/>
              <w:right w:val="single" w:sz="4" w:space="0" w:color="auto"/>
            </w:tcBorders>
            <w:shd w:val="clear" w:color="000000" w:fill="FFFFFF"/>
            <w:noWrap/>
            <w:vAlign w:val="center"/>
            <w:hideMark/>
          </w:tcPr>
          <w:p w14:paraId="796E6A79" w14:textId="59FAD3AF"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2,1%</w:t>
            </w:r>
          </w:p>
        </w:tc>
        <w:tc>
          <w:tcPr>
            <w:tcW w:w="602" w:type="dxa"/>
            <w:tcBorders>
              <w:top w:val="nil"/>
              <w:left w:val="nil"/>
              <w:bottom w:val="single" w:sz="4" w:space="0" w:color="auto"/>
              <w:right w:val="single" w:sz="4" w:space="0" w:color="auto"/>
            </w:tcBorders>
            <w:shd w:val="clear" w:color="000000" w:fill="FFFFFF"/>
            <w:noWrap/>
            <w:vAlign w:val="center"/>
            <w:hideMark/>
          </w:tcPr>
          <w:p w14:paraId="1BF7A0A4" w14:textId="7260C7B9"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11</w:t>
            </w:r>
          </w:p>
        </w:tc>
        <w:tc>
          <w:tcPr>
            <w:tcW w:w="1328" w:type="dxa"/>
            <w:tcBorders>
              <w:top w:val="nil"/>
              <w:left w:val="nil"/>
              <w:bottom w:val="single" w:sz="4" w:space="0" w:color="auto"/>
              <w:right w:val="single" w:sz="4" w:space="0" w:color="auto"/>
            </w:tcBorders>
            <w:shd w:val="clear" w:color="000000" w:fill="FFFFFF"/>
            <w:noWrap/>
            <w:vAlign w:val="center"/>
            <w:hideMark/>
          </w:tcPr>
          <w:p w14:paraId="05DA70A6" w14:textId="3CD51272"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476</w:t>
            </w:r>
          </w:p>
        </w:tc>
        <w:tc>
          <w:tcPr>
            <w:tcW w:w="894" w:type="dxa"/>
            <w:tcBorders>
              <w:top w:val="nil"/>
              <w:left w:val="nil"/>
              <w:bottom w:val="single" w:sz="4" w:space="0" w:color="auto"/>
              <w:right w:val="single" w:sz="4" w:space="0" w:color="auto"/>
            </w:tcBorders>
            <w:shd w:val="clear" w:color="000000" w:fill="FFFFFF"/>
            <w:noWrap/>
            <w:vAlign w:val="center"/>
            <w:hideMark/>
          </w:tcPr>
          <w:p w14:paraId="28204535" w14:textId="581C68D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1,8%</w:t>
            </w:r>
          </w:p>
        </w:tc>
        <w:tc>
          <w:tcPr>
            <w:tcW w:w="601" w:type="dxa"/>
            <w:tcBorders>
              <w:top w:val="nil"/>
              <w:left w:val="nil"/>
              <w:bottom w:val="single" w:sz="4" w:space="0" w:color="auto"/>
              <w:right w:val="single" w:sz="4" w:space="0" w:color="auto"/>
            </w:tcBorders>
            <w:shd w:val="clear" w:color="000000" w:fill="FFFFFF"/>
            <w:noWrap/>
            <w:vAlign w:val="center"/>
            <w:hideMark/>
          </w:tcPr>
          <w:p w14:paraId="790BBEDE" w14:textId="1C39898F"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11</w:t>
            </w:r>
          </w:p>
        </w:tc>
      </w:tr>
      <w:tr w:rsidR="005F41EC" w:rsidRPr="00D55857" w14:paraId="46BE4C5F"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5044C25C" w14:textId="64023B04"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Danemark</w:t>
            </w:r>
          </w:p>
        </w:tc>
        <w:tc>
          <w:tcPr>
            <w:tcW w:w="1369" w:type="dxa"/>
            <w:tcBorders>
              <w:top w:val="nil"/>
              <w:left w:val="nil"/>
              <w:bottom w:val="single" w:sz="4" w:space="0" w:color="auto"/>
              <w:right w:val="single" w:sz="4" w:space="0" w:color="auto"/>
            </w:tcBorders>
            <w:shd w:val="clear" w:color="000000" w:fill="FFFFFF"/>
            <w:noWrap/>
            <w:vAlign w:val="center"/>
            <w:hideMark/>
          </w:tcPr>
          <w:p w14:paraId="78E118FD" w14:textId="1F677CE5"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425</w:t>
            </w:r>
          </w:p>
        </w:tc>
        <w:tc>
          <w:tcPr>
            <w:tcW w:w="805" w:type="dxa"/>
            <w:tcBorders>
              <w:top w:val="nil"/>
              <w:left w:val="nil"/>
              <w:bottom w:val="single" w:sz="4" w:space="0" w:color="auto"/>
              <w:right w:val="single" w:sz="4" w:space="0" w:color="auto"/>
            </w:tcBorders>
            <w:shd w:val="clear" w:color="000000" w:fill="FFFFFF"/>
            <w:noWrap/>
            <w:vAlign w:val="center"/>
            <w:hideMark/>
          </w:tcPr>
          <w:p w14:paraId="6E888C61" w14:textId="2CDBA700"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2,0%</w:t>
            </w:r>
          </w:p>
        </w:tc>
        <w:tc>
          <w:tcPr>
            <w:tcW w:w="601" w:type="dxa"/>
            <w:tcBorders>
              <w:top w:val="nil"/>
              <w:left w:val="nil"/>
              <w:bottom w:val="single" w:sz="4" w:space="0" w:color="auto"/>
              <w:right w:val="single" w:sz="4" w:space="0" w:color="auto"/>
            </w:tcBorders>
            <w:shd w:val="clear" w:color="000000" w:fill="FFFFFF"/>
            <w:noWrap/>
            <w:vAlign w:val="center"/>
            <w:hideMark/>
          </w:tcPr>
          <w:p w14:paraId="077E69CA" w14:textId="39C2D6B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11</w:t>
            </w:r>
          </w:p>
        </w:tc>
        <w:tc>
          <w:tcPr>
            <w:tcW w:w="1328" w:type="dxa"/>
            <w:tcBorders>
              <w:top w:val="nil"/>
              <w:left w:val="nil"/>
              <w:bottom w:val="single" w:sz="4" w:space="0" w:color="auto"/>
              <w:right w:val="single" w:sz="4" w:space="0" w:color="auto"/>
            </w:tcBorders>
            <w:shd w:val="clear" w:color="000000" w:fill="FFFFFF"/>
            <w:noWrap/>
            <w:vAlign w:val="center"/>
            <w:hideMark/>
          </w:tcPr>
          <w:p w14:paraId="17AD2A4D" w14:textId="7002944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456</w:t>
            </w:r>
          </w:p>
        </w:tc>
        <w:tc>
          <w:tcPr>
            <w:tcW w:w="894" w:type="dxa"/>
            <w:tcBorders>
              <w:top w:val="nil"/>
              <w:left w:val="nil"/>
              <w:bottom w:val="single" w:sz="4" w:space="0" w:color="auto"/>
              <w:right w:val="single" w:sz="4" w:space="0" w:color="auto"/>
            </w:tcBorders>
            <w:shd w:val="clear" w:color="000000" w:fill="FFFFFF"/>
            <w:noWrap/>
            <w:vAlign w:val="center"/>
            <w:hideMark/>
          </w:tcPr>
          <w:p w14:paraId="693C7D20" w14:textId="0894A6A1"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1,9%</w:t>
            </w:r>
          </w:p>
        </w:tc>
        <w:tc>
          <w:tcPr>
            <w:tcW w:w="602" w:type="dxa"/>
            <w:tcBorders>
              <w:top w:val="nil"/>
              <w:left w:val="nil"/>
              <w:bottom w:val="single" w:sz="4" w:space="0" w:color="auto"/>
              <w:right w:val="single" w:sz="4" w:space="0" w:color="auto"/>
            </w:tcBorders>
            <w:shd w:val="clear" w:color="000000" w:fill="FFFFFF"/>
            <w:noWrap/>
            <w:vAlign w:val="center"/>
            <w:hideMark/>
          </w:tcPr>
          <w:p w14:paraId="50991475" w14:textId="44937309"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14</w:t>
            </w:r>
          </w:p>
        </w:tc>
        <w:tc>
          <w:tcPr>
            <w:tcW w:w="1328" w:type="dxa"/>
            <w:tcBorders>
              <w:top w:val="nil"/>
              <w:left w:val="nil"/>
              <w:bottom w:val="single" w:sz="4" w:space="0" w:color="auto"/>
              <w:right w:val="single" w:sz="4" w:space="0" w:color="auto"/>
            </w:tcBorders>
            <w:shd w:val="clear" w:color="000000" w:fill="FFFFFF"/>
            <w:noWrap/>
            <w:vAlign w:val="center"/>
            <w:hideMark/>
          </w:tcPr>
          <w:p w14:paraId="1BB2B28F" w14:textId="0D749EF5"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467</w:t>
            </w:r>
          </w:p>
        </w:tc>
        <w:tc>
          <w:tcPr>
            <w:tcW w:w="894" w:type="dxa"/>
            <w:tcBorders>
              <w:top w:val="nil"/>
              <w:left w:val="nil"/>
              <w:bottom w:val="single" w:sz="4" w:space="0" w:color="auto"/>
              <w:right w:val="single" w:sz="4" w:space="0" w:color="auto"/>
            </w:tcBorders>
            <w:shd w:val="clear" w:color="000000" w:fill="FFFFFF"/>
            <w:noWrap/>
            <w:vAlign w:val="center"/>
            <w:hideMark/>
          </w:tcPr>
          <w:p w14:paraId="3178DA90" w14:textId="586E36EB"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1,8%</w:t>
            </w:r>
          </w:p>
        </w:tc>
        <w:tc>
          <w:tcPr>
            <w:tcW w:w="601" w:type="dxa"/>
            <w:tcBorders>
              <w:top w:val="nil"/>
              <w:left w:val="nil"/>
              <w:bottom w:val="single" w:sz="4" w:space="0" w:color="auto"/>
              <w:right w:val="single" w:sz="4" w:space="0" w:color="auto"/>
            </w:tcBorders>
            <w:shd w:val="clear" w:color="000000" w:fill="FFFFFF"/>
            <w:noWrap/>
            <w:vAlign w:val="center"/>
            <w:hideMark/>
          </w:tcPr>
          <w:p w14:paraId="04658C26" w14:textId="7D9C535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12</w:t>
            </w:r>
          </w:p>
        </w:tc>
      </w:tr>
      <w:tr w:rsidR="005F41EC" w:rsidRPr="00D55857" w14:paraId="32FDBDBD"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D84A5B1" w14:textId="6879FC2B"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 xml:space="preserve">République Tchèque </w:t>
            </w:r>
          </w:p>
        </w:tc>
        <w:tc>
          <w:tcPr>
            <w:tcW w:w="1369" w:type="dxa"/>
            <w:tcBorders>
              <w:top w:val="nil"/>
              <w:left w:val="nil"/>
              <w:bottom w:val="single" w:sz="4" w:space="0" w:color="auto"/>
              <w:right w:val="single" w:sz="4" w:space="0" w:color="auto"/>
            </w:tcBorders>
            <w:shd w:val="clear" w:color="000000" w:fill="FFFFFF"/>
            <w:noWrap/>
            <w:vAlign w:val="center"/>
            <w:hideMark/>
          </w:tcPr>
          <w:p w14:paraId="34D52E39" w14:textId="6BEFBAB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421</w:t>
            </w:r>
          </w:p>
        </w:tc>
        <w:tc>
          <w:tcPr>
            <w:tcW w:w="805" w:type="dxa"/>
            <w:tcBorders>
              <w:top w:val="nil"/>
              <w:left w:val="nil"/>
              <w:bottom w:val="single" w:sz="4" w:space="0" w:color="auto"/>
              <w:right w:val="single" w:sz="4" w:space="0" w:color="auto"/>
            </w:tcBorders>
            <w:shd w:val="clear" w:color="000000" w:fill="FFFFFF"/>
            <w:noWrap/>
            <w:vAlign w:val="center"/>
            <w:hideMark/>
          </w:tcPr>
          <w:p w14:paraId="715B2003" w14:textId="4F202832"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1,9%</w:t>
            </w:r>
          </w:p>
        </w:tc>
        <w:tc>
          <w:tcPr>
            <w:tcW w:w="601" w:type="dxa"/>
            <w:tcBorders>
              <w:top w:val="nil"/>
              <w:left w:val="nil"/>
              <w:bottom w:val="single" w:sz="4" w:space="0" w:color="auto"/>
              <w:right w:val="single" w:sz="4" w:space="0" w:color="auto"/>
            </w:tcBorders>
            <w:shd w:val="clear" w:color="000000" w:fill="FFFFFF"/>
            <w:noWrap/>
            <w:vAlign w:val="center"/>
            <w:hideMark/>
          </w:tcPr>
          <w:p w14:paraId="4FE81517" w14:textId="5A3DE15F"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12</w:t>
            </w:r>
          </w:p>
        </w:tc>
        <w:tc>
          <w:tcPr>
            <w:tcW w:w="1328" w:type="dxa"/>
            <w:tcBorders>
              <w:top w:val="nil"/>
              <w:left w:val="nil"/>
              <w:bottom w:val="single" w:sz="4" w:space="0" w:color="auto"/>
              <w:right w:val="single" w:sz="4" w:space="0" w:color="auto"/>
            </w:tcBorders>
            <w:shd w:val="clear" w:color="000000" w:fill="FFFFFF"/>
            <w:noWrap/>
            <w:vAlign w:val="center"/>
            <w:hideMark/>
          </w:tcPr>
          <w:p w14:paraId="157DF2E4" w14:textId="6554ADEC"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470</w:t>
            </w:r>
          </w:p>
        </w:tc>
        <w:tc>
          <w:tcPr>
            <w:tcW w:w="894" w:type="dxa"/>
            <w:tcBorders>
              <w:top w:val="nil"/>
              <w:left w:val="nil"/>
              <w:bottom w:val="single" w:sz="4" w:space="0" w:color="auto"/>
              <w:right w:val="single" w:sz="4" w:space="0" w:color="auto"/>
            </w:tcBorders>
            <w:shd w:val="clear" w:color="000000" w:fill="FFFFFF"/>
            <w:noWrap/>
            <w:vAlign w:val="center"/>
            <w:hideMark/>
          </w:tcPr>
          <w:p w14:paraId="1BDBDF02" w14:textId="42E12125"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2,0%</w:t>
            </w:r>
          </w:p>
        </w:tc>
        <w:tc>
          <w:tcPr>
            <w:tcW w:w="602" w:type="dxa"/>
            <w:tcBorders>
              <w:top w:val="nil"/>
              <w:left w:val="nil"/>
              <w:bottom w:val="single" w:sz="4" w:space="0" w:color="auto"/>
              <w:right w:val="single" w:sz="4" w:space="0" w:color="auto"/>
            </w:tcBorders>
            <w:shd w:val="clear" w:color="000000" w:fill="FFFFFF"/>
            <w:noWrap/>
            <w:vAlign w:val="center"/>
            <w:hideMark/>
          </w:tcPr>
          <w:p w14:paraId="5D0722D2" w14:textId="22B94DAA"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12</w:t>
            </w:r>
          </w:p>
        </w:tc>
        <w:tc>
          <w:tcPr>
            <w:tcW w:w="1328" w:type="dxa"/>
            <w:tcBorders>
              <w:top w:val="nil"/>
              <w:left w:val="nil"/>
              <w:bottom w:val="single" w:sz="4" w:space="0" w:color="auto"/>
              <w:right w:val="single" w:sz="4" w:space="0" w:color="auto"/>
            </w:tcBorders>
            <w:shd w:val="clear" w:color="000000" w:fill="FFFFFF"/>
            <w:noWrap/>
            <w:vAlign w:val="center"/>
            <w:hideMark/>
          </w:tcPr>
          <w:p w14:paraId="75CFBCFC" w14:textId="26CA9F8A"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333</w:t>
            </w:r>
          </w:p>
        </w:tc>
        <w:tc>
          <w:tcPr>
            <w:tcW w:w="894" w:type="dxa"/>
            <w:tcBorders>
              <w:top w:val="nil"/>
              <w:left w:val="nil"/>
              <w:bottom w:val="single" w:sz="4" w:space="0" w:color="auto"/>
              <w:right w:val="single" w:sz="4" w:space="0" w:color="auto"/>
            </w:tcBorders>
            <w:shd w:val="clear" w:color="000000" w:fill="FFFFFF"/>
            <w:noWrap/>
            <w:vAlign w:val="center"/>
            <w:hideMark/>
          </w:tcPr>
          <w:p w14:paraId="3D920290" w14:textId="38938CF5"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1,3%</w:t>
            </w:r>
          </w:p>
        </w:tc>
        <w:tc>
          <w:tcPr>
            <w:tcW w:w="601" w:type="dxa"/>
            <w:tcBorders>
              <w:top w:val="nil"/>
              <w:left w:val="nil"/>
              <w:bottom w:val="single" w:sz="4" w:space="0" w:color="auto"/>
              <w:right w:val="single" w:sz="4" w:space="0" w:color="auto"/>
            </w:tcBorders>
            <w:shd w:val="clear" w:color="000000" w:fill="FFFFFF"/>
            <w:noWrap/>
            <w:vAlign w:val="center"/>
            <w:hideMark/>
          </w:tcPr>
          <w:p w14:paraId="25792143" w14:textId="70F83C0C"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14</w:t>
            </w:r>
          </w:p>
        </w:tc>
      </w:tr>
      <w:tr w:rsidR="005F41EC" w:rsidRPr="00D55857" w14:paraId="7A1AEE38"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4B64D08E" w14:textId="598E05A2"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France</w:t>
            </w:r>
          </w:p>
        </w:tc>
        <w:tc>
          <w:tcPr>
            <w:tcW w:w="1369" w:type="dxa"/>
            <w:tcBorders>
              <w:top w:val="nil"/>
              <w:left w:val="nil"/>
              <w:bottom w:val="single" w:sz="4" w:space="0" w:color="auto"/>
              <w:right w:val="single" w:sz="4" w:space="0" w:color="auto"/>
            </w:tcBorders>
            <w:shd w:val="clear" w:color="000000" w:fill="FFFFFF"/>
            <w:noWrap/>
            <w:vAlign w:val="center"/>
            <w:hideMark/>
          </w:tcPr>
          <w:p w14:paraId="75A1A9B4" w14:textId="5FD6222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407</w:t>
            </w:r>
          </w:p>
        </w:tc>
        <w:tc>
          <w:tcPr>
            <w:tcW w:w="805" w:type="dxa"/>
            <w:tcBorders>
              <w:top w:val="nil"/>
              <w:left w:val="nil"/>
              <w:bottom w:val="single" w:sz="4" w:space="0" w:color="auto"/>
              <w:right w:val="single" w:sz="4" w:space="0" w:color="auto"/>
            </w:tcBorders>
            <w:shd w:val="clear" w:color="000000" w:fill="FFFFFF"/>
            <w:noWrap/>
            <w:vAlign w:val="center"/>
            <w:hideMark/>
          </w:tcPr>
          <w:p w14:paraId="55F86197" w14:textId="2D9014C2"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1,9%</w:t>
            </w:r>
          </w:p>
        </w:tc>
        <w:tc>
          <w:tcPr>
            <w:tcW w:w="601" w:type="dxa"/>
            <w:tcBorders>
              <w:top w:val="nil"/>
              <w:left w:val="nil"/>
              <w:bottom w:val="single" w:sz="4" w:space="0" w:color="auto"/>
              <w:right w:val="single" w:sz="4" w:space="0" w:color="auto"/>
            </w:tcBorders>
            <w:shd w:val="clear" w:color="000000" w:fill="FFFFFF"/>
            <w:noWrap/>
            <w:vAlign w:val="center"/>
            <w:hideMark/>
          </w:tcPr>
          <w:p w14:paraId="34C4B9CB" w14:textId="60C371CF"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13</w:t>
            </w:r>
          </w:p>
        </w:tc>
        <w:tc>
          <w:tcPr>
            <w:tcW w:w="1328" w:type="dxa"/>
            <w:tcBorders>
              <w:top w:val="nil"/>
              <w:left w:val="nil"/>
              <w:bottom w:val="single" w:sz="4" w:space="0" w:color="auto"/>
              <w:right w:val="single" w:sz="4" w:space="0" w:color="auto"/>
            </w:tcBorders>
            <w:shd w:val="clear" w:color="000000" w:fill="FFFFFF"/>
            <w:noWrap/>
            <w:vAlign w:val="center"/>
            <w:hideMark/>
          </w:tcPr>
          <w:p w14:paraId="7A1875B6" w14:textId="11747C3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459</w:t>
            </w:r>
          </w:p>
        </w:tc>
        <w:tc>
          <w:tcPr>
            <w:tcW w:w="894" w:type="dxa"/>
            <w:tcBorders>
              <w:top w:val="nil"/>
              <w:left w:val="nil"/>
              <w:bottom w:val="single" w:sz="4" w:space="0" w:color="auto"/>
              <w:right w:val="single" w:sz="4" w:space="0" w:color="auto"/>
            </w:tcBorders>
            <w:shd w:val="clear" w:color="000000" w:fill="FFFFFF"/>
            <w:noWrap/>
            <w:vAlign w:val="center"/>
            <w:hideMark/>
          </w:tcPr>
          <w:p w14:paraId="1768C693" w14:textId="043D2650"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2,0%</w:t>
            </w:r>
          </w:p>
        </w:tc>
        <w:tc>
          <w:tcPr>
            <w:tcW w:w="602" w:type="dxa"/>
            <w:tcBorders>
              <w:top w:val="nil"/>
              <w:left w:val="nil"/>
              <w:bottom w:val="single" w:sz="4" w:space="0" w:color="auto"/>
              <w:right w:val="single" w:sz="4" w:space="0" w:color="auto"/>
            </w:tcBorders>
            <w:shd w:val="clear" w:color="000000" w:fill="FFFFFF"/>
            <w:noWrap/>
            <w:vAlign w:val="center"/>
            <w:hideMark/>
          </w:tcPr>
          <w:p w14:paraId="2996A7D5" w14:textId="283151EA"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13</w:t>
            </w:r>
          </w:p>
        </w:tc>
        <w:tc>
          <w:tcPr>
            <w:tcW w:w="1328" w:type="dxa"/>
            <w:tcBorders>
              <w:top w:val="nil"/>
              <w:left w:val="nil"/>
              <w:bottom w:val="single" w:sz="4" w:space="0" w:color="auto"/>
              <w:right w:val="single" w:sz="4" w:space="0" w:color="auto"/>
            </w:tcBorders>
            <w:shd w:val="clear" w:color="000000" w:fill="FFFFFF"/>
            <w:noWrap/>
            <w:vAlign w:val="center"/>
            <w:hideMark/>
          </w:tcPr>
          <w:p w14:paraId="13B15339" w14:textId="7CB4CA13"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389</w:t>
            </w:r>
          </w:p>
        </w:tc>
        <w:tc>
          <w:tcPr>
            <w:tcW w:w="894" w:type="dxa"/>
            <w:tcBorders>
              <w:top w:val="nil"/>
              <w:left w:val="nil"/>
              <w:bottom w:val="single" w:sz="4" w:space="0" w:color="auto"/>
              <w:right w:val="single" w:sz="4" w:space="0" w:color="auto"/>
            </w:tcBorders>
            <w:shd w:val="clear" w:color="000000" w:fill="FFFFFF"/>
            <w:noWrap/>
            <w:vAlign w:val="center"/>
            <w:hideMark/>
          </w:tcPr>
          <w:p w14:paraId="14D27811" w14:textId="23E081DF"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1,5%</w:t>
            </w:r>
          </w:p>
        </w:tc>
        <w:tc>
          <w:tcPr>
            <w:tcW w:w="601" w:type="dxa"/>
            <w:tcBorders>
              <w:top w:val="nil"/>
              <w:left w:val="nil"/>
              <w:bottom w:val="single" w:sz="4" w:space="0" w:color="auto"/>
              <w:right w:val="single" w:sz="4" w:space="0" w:color="auto"/>
            </w:tcBorders>
            <w:shd w:val="clear" w:color="000000" w:fill="FFFFFF"/>
            <w:noWrap/>
            <w:vAlign w:val="center"/>
            <w:hideMark/>
          </w:tcPr>
          <w:p w14:paraId="6954ED27" w14:textId="37AF6691"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13</w:t>
            </w:r>
          </w:p>
        </w:tc>
      </w:tr>
      <w:tr w:rsidR="005F41EC" w:rsidRPr="00D55857" w14:paraId="51F565D8"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7631E09D" w14:textId="6931D92F"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Russie</w:t>
            </w:r>
          </w:p>
        </w:tc>
        <w:tc>
          <w:tcPr>
            <w:tcW w:w="1369" w:type="dxa"/>
            <w:tcBorders>
              <w:top w:val="nil"/>
              <w:left w:val="nil"/>
              <w:bottom w:val="single" w:sz="4" w:space="0" w:color="auto"/>
              <w:right w:val="single" w:sz="4" w:space="0" w:color="auto"/>
            </w:tcBorders>
            <w:shd w:val="clear" w:color="000000" w:fill="FFFFFF"/>
            <w:noWrap/>
            <w:vAlign w:val="center"/>
            <w:hideMark/>
          </w:tcPr>
          <w:p w14:paraId="7282D40E" w14:textId="35180F7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396</w:t>
            </w:r>
          </w:p>
        </w:tc>
        <w:tc>
          <w:tcPr>
            <w:tcW w:w="805" w:type="dxa"/>
            <w:tcBorders>
              <w:top w:val="nil"/>
              <w:left w:val="nil"/>
              <w:bottom w:val="single" w:sz="4" w:space="0" w:color="auto"/>
              <w:right w:val="single" w:sz="4" w:space="0" w:color="auto"/>
            </w:tcBorders>
            <w:shd w:val="clear" w:color="000000" w:fill="FFFFFF"/>
            <w:noWrap/>
            <w:vAlign w:val="center"/>
            <w:hideMark/>
          </w:tcPr>
          <w:p w14:paraId="200E0204" w14:textId="40906402"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1,8%</w:t>
            </w:r>
          </w:p>
        </w:tc>
        <w:tc>
          <w:tcPr>
            <w:tcW w:w="601" w:type="dxa"/>
            <w:tcBorders>
              <w:top w:val="nil"/>
              <w:left w:val="nil"/>
              <w:bottom w:val="single" w:sz="4" w:space="0" w:color="auto"/>
              <w:right w:val="single" w:sz="4" w:space="0" w:color="auto"/>
            </w:tcBorders>
            <w:shd w:val="clear" w:color="000000" w:fill="FFFFFF"/>
            <w:noWrap/>
            <w:vAlign w:val="center"/>
            <w:hideMark/>
          </w:tcPr>
          <w:p w14:paraId="547020B4" w14:textId="035B126A"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14</w:t>
            </w:r>
          </w:p>
        </w:tc>
        <w:tc>
          <w:tcPr>
            <w:tcW w:w="1328" w:type="dxa"/>
            <w:tcBorders>
              <w:top w:val="nil"/>
              <w:left w:val="nil"/>
              <w:bottom w:val="single" w:sz="4" w:space="0" w:color="auto"/>
              <w:right w:val="single" w:sz="4" w:space="0" w:color="auto"/>
            </w:tcBorders>
            <w:shd w:val="clear" w:color="000000" w:fill="FFFFFF"/>
            <w:noWrap/>
            <w:vAlign w:val="center"/>
            <w:hideMark/>
          </w:tcPr>
          <w:p w14:paraId="6CA37DA4" w14:textId="00FF06E5"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607</w:t>
            </w:r>
          </w:p>
        </w:tc>
        <w:tc>
          <w:tcPr>
            <w:tcW w:w="894" w:type="dxa"/>
            <w:tcBorders>
              <w:top w:val="nil"/>
              <w:left w:val="nil"/>
              <w:bottom w:val="single" w:sz="4" w:space="0" w:color="auto"/>
              <w:right w:val="single" w:sz="4" w:space="0" w:color="auto"/>
            </w:tcBorders>
            <w:shd w:val="clear" w:color="000000" w:fill="FFFFFF"/>
            <w:noWrap/>
            <w:vAlign w:val="center"/>
            <w:hideMark/>
          </w:tcPr>
          <w:p w14:paraId="5717FE21" w14:textId="70D9FF56"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2,6%</w:t>
            </w:r>
          </w:p>
        </w:tc>
        <w:tc>
          <w:tcPr>
            <w:tcW w:w="602" w:type="dxa"/>
            <w:tcBorders>
              <w:top w:val="nil"/>
              <w:left w:val="nil"/>
              <w:bottom w:val="single" w:sz="4" w:space="0" w:color="auto"/>
              <w:right w:val="single" w:sz="4" w:space="0" w:color="auto"/>
            </w:tcBorders>
            <w:shd w:val="clear" w:color="000000" w:fill="FFFFFF"/>
            <w:noWrap/>
            <w:vAlign w:val="center"/>
            <w:hideMark/>
          </w:tcPr>
          <w:p w14:paraId="4E7D1413" w14:textId="7603732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10</w:t>
            </w:r>
          </w:p>
        </w:tc>
        <w:tc>
          <w:tcPr>
            <w:tcW w:w="1328" w:type="dxa"/>
            <w:tcBorders>
              <w:top w:val="nil"/>
              <w:left w:val="nil"/>
              <w:bottom w:val="single" w:sz="4" w:space="0" w:color="auto"/>
              <w:right w:val="single" w:sz="4" w:space="0" w:color="auto"/>
            </w:tcBorders>
            <w:shd w:val="clear" w:color="000000" w:fill="FFFFFF"/>
            <w:noWrap/>
            <w:vAlign w:val="center"/>
            <w:hideMark/>
          </w:tcPr>
          <w:p w14:paraId="2F77FFCF" w14:textId="1464D7BB"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1 831</w:t>
            </w:r>
          </w:p>
        </w:tc>
        <w:tc>
          <w:tcPr>
            <w:tcW w:w="894" w:type="dxa"/>
            <w:tcBorders>
              <w:top w:val="nil"/>
              <w:left w:val="nil"/>
              <w:bottom w:val="single" w:sz="4" w:space="0" w:color="auto"/>
              <w:right w:val="single" w:sz="4" w:space="0" w:color="auto"/>
            </w:tcBorders>
            <w:shd w:val="clear" w:color="000000" w:fill="FFFFFF"/>
            <w:noWrap/>
            <w:vAlign w:val="center"/>
            <w:hideMark/>
          </w:tcPr>
          <w:p w14:paraId="299D790C" w14:textId="7D0A79C0"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6,9%</w:t>
            </w:r>
          </w:p>
        </w:tc>
        <w:tc>
          <w:tcPr>
            <w:tcW w:w="601" w:type="dxa"/>
            <w:tcBorders>
              <w:top w:val="nil"/>
              <w:left w:val="nil"/>
              <w:bottom w:val="single" w:sz="4" w:space="0" w:color="auto"/>
              <w:right w:val="single" w:sz="4" w:space="0" w:color="auto"/>
            </w:tcBorders>
            <w:shd w:val="clear" w:color="000000" w:fill="FFFFFF"/>
            <w:noWrap/>
            <w:vAlign w:val="center"/>
            <w:hideMark/>
          </w:tcPr>
          <w:p w14:paraId="19399AD4" w14:textId="71430F82"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5</w:t>
            </w:r>
          </w:p>
        </w:tc>
      </w:tr>
      <w:tr w:rsidR="005F41EC" w:rsidRPr="00D55857" w14:paraId="00C3E00B"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4E50FD77" w14:textId="69D738D8"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Espagne</w:t>
            </w:r>
          </w:p>
        </w:tc>
        <w:tc>
          <w:tcPr>
            <w:tcW w:w="1369" w:type="dxa"/>
            <w:tcBorders>
              <w:top w:val="nil"/>
              <w:left w:val="nil"/>
              <w:bottom w:val="single" w:sz="4" w:space="0" w:color="auto"/>
              <w:right w:val="single" w:sz="4" w:space="0" w:color="auto"/>
            </w:tcBorders>
            <w:shd w:val="clear" w:color="000000" w:fill="FFFFFF"/>
            <w:noWrap/>
            <w:vAlign w:val="center"/>
            <w:hideMark/>
          </w:tcPr>
          <w:p w14:paraId="14188A96" w14:textId="78008EAB"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306</w:t>
            </w:r>
          </w:p>
        </w:tc>
        <w:tc>
          <w:tcPr>
            <w:tcW w:w="805" w:type="dxa"/>
            <w:tcBorders>
              <w:top w:val="nil"/>
              <w:left w:val="nil"/>
              <w:bottom w:val="single" w:sz="4" w:space="0" w:color="auto"/>
              <w:right w:val="single" w:sz="4" w:space="0" w:color="auto"/>
            </w:tcBorders>
            <w:shd w:val="clear" w:color="000000" w:fill="FFFFFF"/>
            <w:noWrap/>
            <w:vAlign w:val="center"/>
            <w:hideMark/>
          </w:tcPr>
          <w:p w14:paraId="0C89537E" w14:textId="47CE94B9"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1,4%</w:t>
            </w:r>
          </w:p>
        </w:tc>
        <w:tc>
          <w:tcPr>
            <w:tcW w:w="601" w:type="dxa"/>
            <w:tcBorders>
              <w:top w:val="nil"/>
              <w:left w:val="nil"/>
              <w:bottom w:val="single" w:sz="4" w:space="0" w:color="auto"/>
              <w:right w:val="single" w:sz="4" w:space="0" w:color="auto"/>
            </w:tcBorders>
            <w:shd w:val="clear" w:color="000000" w:fill="FFFFFF"/>
            <w:noWrap/>
            <w:vAlign w:val="center"/>
            <w:hideMark/>
          </w:tcPr>
          <w:p w14:paraId="0B54C8B1" w14:textId="681ADF49"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15</w:t>
            </w:r>
          </w:p>
        </w:tc>
        <w:tc>
          <w:tcPr>
            <w:tcW w:w="1328" w:type="dxa"/>
            <w:tcBorders>
              <w:top w:val="nil"/>
              <w:left w:val="nil"/>
              <w:bottom w:val="single" w:sz="4" w:space="0" w:color="auto"/>
              <w:right w:val="single" w:sz="4" w:space="0" w:color="auto"/>
            </w:tcBorders>
            <w:shd w:val="clear" w:color="000000" w:fill="FFFFFF"/>
            <w:noWrap/>
            <w:vAlign w:val="center"/>
            <w:hideMark/>
          </w:tcPr>
          <w:p w14:paraId="4EA3DF74" w14:textId="71799CF1"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289</w:t>
            </w:r>
          </w:p>
        </w:tc>
        <w:tc>
          <w:tcPr>
            <w:tcW w:w="894" w:type="dxa"/>
            <w:tcBorders>
              <w:top w:val="nil"/>
              <w:left w:val="nil"/>
              <w:bottom w:val="single" w:sz="4" w:space="0" w:color="auto"/>
              <w:right w:val="single" w:sz="4" w:space="0" w:color="auto"/>
            </w:tcBorders>
            <w:shd w:val="clear" w:color="000000" w:fill="FFFFFF"/>
            <w:noWrap/>
            <w:vAlign w:val="center"/>
            <w:hideMark/>
          </w:tcPr>
          <w:p w14:paraId="7FC044F8" w14:textId="16702E83"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1,2%</w:t>
            </w:r>
          </w:p>
        </w:tc>
        <w:tc>
          <w:tcPr>
            <w:tcW w:w="602" w:type="dxa"/>
            <w:tcBorders>
              <w:top w:val="nil"/>
              <w:left w:val="nil"/>
              <w:bottom w:val="single" w:sz="4" w:space="0" w:color="auto"/>
              <w:right w:val="single" w:sz="4" w:space="0" w:color="auto"/>
            </w:tcBorders>
            <w:shd w:val="clear" w:color="000000" w:fill="FFFFFF"/>
            <w:noWrap/>
            <w:vAlign w:val="center"/>
            <w:hideMark/>
          </w:tcPr>
          <w:p w14:paraId="0E22EA83" w14:textId="4BD66B6E"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16</w:t>
            </w:r>
          </w:p>
        </w:tc>
        <w:tc>
          <w:tcPr>
            <w:tcW w:w="1328" w:type="dxa"/>
            <w:tcBorders>
              <w:top w:val="nil"/>
              <w:left w:val="nil"/>
              <w:bottom w:val="single" w:sz="4" w:space="0" w:color="auto"/>
              <w:right w:val="single" w:sz="4" w:space="0" w:color="auto"/>
            </w:tcBorders>
            <w:shd w:val="clear" w:color="000000" w:fill="FFFFFF"/>
            <w:noWrap/>
            <w:vAlign w:val="center"/>
            <w:hideMark/>
          </w:tcPr>
          <w:p w14:paraId="6C8B6659" w14:textId="7C5A532F"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288</w:t>
            </w:r>
          </w:p>
        </w:tc>
        <w:tc>
          <w:tcPr>
            <w:tcW w:w="894" w:type="dxa"/>
            <w:tcBorders>
              <w:top w:val="nil"/>
              <w:left w:val="nil"/>
              <w:bottom w:val="single" w:sz="4" w:space="0" w:color="auto"/>
              <w:right w:val="single" w:sz="4" w:space="0" w:color="auto"/>
            </w:tcBorders>
            <w:shd w:val="clear" w:color="000000" w:fill="FFFFFF"/>
            <w:noWrap/>
            <w:vAlign w:val="center"/>
            <w:hideMark/>
          </w:tcPr>
          <w:p w14:paraId="3AE25E77" w14:textId="5C7A70C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1,1%</w:t>
            </w:r>
          </w:p>
        </w:tc>
        <w:tc>
          <w:tcPr>
            <w:tcW w:w="601" w:type="dxa"/>
            <w:tcBorders>
              <w:top w:val="nil"/>
              <w:left w:val="nil"/>
              <w:bottom w:val="single" w:sz="4" w:space="0" w:color="auto"/>
              <w:right w:val="single" w:sz="4" w:space="0" w:color="auto"/>
            </w:tcBorders>
            <w:shd w:val="clear" w:color="000000" w:fill="FFFFFF"/>
            <w:noWrap/>
            <w:vAlign w:val="center"/>
            <w:hideMark/>
          </w:tcPr>
          <w:p w14:paraId="194ED812" w14:textId="00BBEB89"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15</w:t>
            </w:r>
          </w:p>
        </w:tc>
      </w:tr>
      <w:tr w:rsidR="005F41EC" w:rsidRPr="00D55857" w14:paraId="516F663B"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7576ADA1" w14:textId="0B178780"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Ukraine</w:t>
            </w:r>
          </w:p>
        </w:tc>
        <w:tc>
          <w:tcPr>
            <w:tcW w:w="1369" w:type="dxa"/>
            <w:tcBorders>
              <w:top w:val="nil"/>
              <w:left w:val="nil"/>
              <w:bottom w:val="single" w:sz="4" w:space="0" w:color="auto"/>
              <w:right w:val="single" w:sz="4" w:space="0" w:color="auto"/>
            </w:tcBorders>
            <w:shd w:val="clear" w:color="000000" w:fill="FFFFFF"/>
            <w:noWrap/>
            <w:vAlign w:val="center"/>
            <w:hideMark/>
          </w:tcPr>
          <w:p w14:paraId="64EFFD10" w14:textId="00D4E787"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288</w:t>
            </w:r>
          </w:p>
        </w:tc>
        <w:tc>
          <w:tcPr>
            <w:tcW w:w="805" w:type="dxa"/>
            <w:tcBorders>
              <w:top w:val="nil"/>
              <w:left w:val="nil"/>
              <w:bottom w:val="single" w:sz="4" w:space="0" w:color="auto"/>
              <w:right w:val="single" w:sz="4" w:space="0" w:color="auto"/>
            </w:tcBorders>
            <w:shd w:val="clear" w:color="000000" w:fill="FFFFFF"/>
            <w:noWrap/>
            <w:vAlign w:val="center"/>
            <w:hideMark/>
          </w:tcPr>
          <w:p w14:paraId="65CC32B1" w14:textId="4CA19539"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1,3%</w:t>
            </w:r>
          </w:p>
        </w:tc>
        <w:tc>
          <w:tcPr>
            <w:tcW w:w="601" w:type="dxa"/>
            <w:tcBorders>
              <w:top w:val="nil"/>
              <w:left w:val="nil"/>
              <w:bottom w:val="single" w:sz="4" w:space="0" w:color="auto"/>
              <w:right w:val="single" w:sz="4" w:space="0" w:color="auto"/>
            </w:tcBorders>
            <w:shd w:val="clear" w:color="000000" w:fill="FFFFFF"/>
            <w:noWrap/>
            <w:vAlign w:val="center"/>
            <w:hideMark/>
          </w:tcPr>
          <w:p w14:paraId="65C18F02" w14:textId="26EFA0A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16</w:t>
            </w:r>
          </w:p>
        </w:tc>
        <w:tc>
          <w:tcPr>
            <w:tcW w:w="1328" w:type="dxa"/>
            <w:tcBorders>
              <w:top w:val="nil"/>
              <w:left w:val="nil"/>
              <w:bottom w:val="single" w:sz="4" w:space="0" w:color="auto"/>
              <w:right w:val="single" w:sz="4" w:space="0" w:color="auto"/>
            </w:tcBorders>
            <w:shd w:val="clear" w:color="000000" w:fill="FFFFFF"/>
            <w:noWrap/>
            <w:vAlign w:val="center"/>
            <w:hideMark/>
          </w:tcPr>
          <w:p w14:paraId="4D983058" w14:textId="6B4E9EA1"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299</w:t>
            </w:r>
          </w:p>
        </w:tc>
        <w:tc>
          <w:tcPr>
            <w:tcW w:w="894" w:type="dxa"/>
            <w:tcBorders>
              <w:top w:val="nil"/>
              <w:left w:val="nil"/>
              <w:bottom w:val="single" w:sz="4" w:space="0" w:color="auto"/>
              <w:right w:val="single" w:sz="4" w:space="0" w:color="auto"/>
            </w:tcBorders>
            <w:shd w:val="clear" w:color="000000" w:fill="FFFFFF"/>
            <w:noWrap/>
            <w:vAlign w:val="center"/>
            <w:hideMark/>
          </w:tcPr>
          <w:p w14:paraId="62837A08" w14:textId="05C3CDDA"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1,3%</w:t>
            </w:r>
          </w:p>
        </w:tc>
        <w:tc>
          <w:tcPr>
            <w:tcW w:w="602" w:type="dxa"/>
            <w:tcBorders>
              <w:top w:val="nil"/>
              <w:left w:val="nil"/>
              <w:bottom w:val="single" w:sz="4" w:space="0" w:color="auto"/>
              <w:right w:val="single" w:sz="4" w:space="0" w:color="auto"/>
            </w:tcBorders>
            <w:shd w:val="clear" w:color="000000" w:fill="FFFFFF"/>
            <w:noWrap/>
            <w:vAlign w:val="center"/>
            <w:hideMark/>
          </w:tcPr>
          <w:p w14:paraId="68ED6B7B" w14:textId="3BE0226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15</w:t>
            </w:r>
          </w:p>
        </w:tc>
        <w:tc>
          <w:tcPr>
            <w:tcW w:w="1328" w:type="dxa"/>
            <w:tcBorders>
              <w:top w:val="nil"/>
              <w:left w:val="nil"/>
              <w:bottom w:val="single" w:sz="4" w:space="0" w:color="auto"/>
              <w:right w:val="single" w:sz="4" w:space="0" w:color="auto"/>
            </w:tcBorders>
            <w:shd w:val="clear" w:color="000000" w:fill="FFFFFF"/>
            <w:noWrap/>
            <w:vAlign w:val="center"/>
            <w:hideMark/>
          </w:tcPr>
          <w:p w14:paraId="77414112" w14:textId="5AF825E8"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287</w:t>
            </w:r>
          </w:p>
        </w:tc>
        <w:tc>
          <w:tcPr>
            <w:tcW w:w="894" w:type="dxa"/>
            <w:tcBorders>
              <w:top w:val="nil"/>
              <w:left w:val="nil"/>
              <w:bottom w:val="single" w:sz="4" w:space="0" w:color="auto"/>
              <w:right w:val="single" w:sz="4" w:space="0" w:color="auto"/>
            </w:tcBorders>
            <w:shd w:val="clear" w:color="000000" w:fill="FFFFFF"/>
            <w:noWrap/>
            <w:vAlign w:val="center"/>
            <w:hideMark/>
          </w:tcPr>
          <w:p w14:paraId="1D6A4541" w14:textId="4F9BB1EF"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1,1%</w:t>
            </w:r>
          </w:p>
        </w:tc>
        <w:tc>
          <w:tcPr>
            <w:tcW w:w="601" w:type="dxa"/>
            <w:tcBorders>
              <w:top w:val="nil"/>
              <w:left w:val="nil"/>
              <w:bottom w:val="single" w:sz="4" w:space="0" w:color="auto"/>
              <w:right w:val="single" w:sz="4" w:space="0" w:color="auto"/>
            </w:tcBorders>
            <w:shd w:val="clear" w:color="000000" w:fill="FFFFFF"/>
            <w:noWrap/>
            <w:vAlign w:val="center"/>
            <w:hideMark/>
          </w:tcPr>
          <w:p w14:paraId="10EF8FE1" w14:textId="74C3D454"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16</w:t>
            </w:r>
          </w:p>
        </w:tc>
      </w:tr>
      <w:tr w:rsidR="005F41EC" w:rsidRPr="00D55857" w14:paraId="1A97802C" w14:textId="77777777" w:rsidTr="00830648">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39B1C7D1" w14:textId="2A963245" w:rsidR="005F41EC" w:rsidRPr="00D55857" w:rsidRDefault="005F41EC" w:rsidP="005F41EC">
            <w:pPr>
              <w:jc w:val="center"/>
              <w:rPr>
                <w:rFonts w:ascii="Calibri" w:hAnsi="Calibri" w:cs="Calibri"/>
                <w:b/>
                <w:bCs/>
                <w:color w:val="000000"/>
                <w:sz w:val="22"/>
                <w:szCs w:val="22"/>
              </w:rPr>
            </w:pPr>
            <w:r w:rsidRPr="00D55857">
              <w:rPr>
                <w:rFonts w:ascii="Calibri" w:hAnsi="Calibri" w:cs="Calibri"/>
                <w:b/>
                <w:bCs/>
                <w:color w:val="000000"/>
                <w:sz w:val="22"/>
                <w:szCs w:val="22"/>
              </w:rPr>
              <w:t>Etats-Unis</w:t>
            </w:r>
          </w:p>
        </w:tc>
        <w:tc>
          <w:tcPr>
            <w:tcW w:w="1369" w:type="dxa"/>
            <w:tcBorders>
              <w:top w:val="nil"/>
              <w:left w:val="nil"/>
              <w:bottom w:val="single" w:sz="4" w:space="0" w:color="auto"/>
              <w:right w:val="single" w:sz="4" w:space="0" w:color="auto"/>
            </w:tcBorders>
            <w:shd w:val="clear" w:color="000000" w:fill="FFFFFF"/>
            <w:noWrap/>
            <w:vAlign w:val="center"/>
            <w:hideMark/>
          </w:tcPr>
          <w:p w14:paraId="744B635B" w14:textId="7FBC5FB0"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235</w:t>
            </w:r>
          </w:p>
        </w:tc>
        <w:tc>
          <w:tcPr>
            <w:tcW w:w="805" w:type="dxa"/>
            <w:tcBorders>
              <w:top w:val="nil"/>
              <w:left w:val="nil"/>
              <w:bottom w:val="single" w:sz="4" w:space="0" w:color="auto"/>
              <w:right w:val="single" w:sz="4" w:space="0" w:color="auto"/>
            </w:tcBorders>
            <w:shd w:val="clear" w:color="000000" w:fill="FFFFFF"/>
            <w:noWrap/>
            <w:vAlign w:val="center"/>
            <w:hideMark/>
          </w:tcPr>
          <w:p w14:paraId="0B2F9060" w14:textId="41F402A2"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1,1%</w:t>
            </w:r>
          </w:p>
        </w:tc>
        <w:tc>
          <w:tcPr>
            <w:tcW w:w="601" w:type="dxa"/>
            <w:tcBorders>
              <w:top w:val="nil"/>
              <w:left w:val="nil"/>
              <w:bottom w:val="single" w:sz="4" w:space="0" w:color="auto"/>
              <w:right w:val="single" w:sz="4" w:space="0" w:color="auto"/>
            </w:tcBorders>
            <w:shd w:val="clear" w:color="000000" w:fill="FFFFFF"/>
            <w:noWrap/>
            <w:vAlign w:val="center"/>
            <w:hideMark/>
          </w:tcPr>
          <w:p w14:paraId="3AC25F29" w14:textId="431E8CC3"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17</w:t>
            </w:r>
          </w:p>
        </w:tc>
        <w:tc>
          <w:tcPr>
            <w:tcW w:w="1328" w:type="dxa"/>
            <w:tcBorders>
              <w:top w:val="nil"/>
              <w:left w:val="nil"/>
              <w:bottom w:val="single" w:sz="4" w:space="0" w:color="auto"/>
              <w:right w:val="single" w:sz="4" w:space="0" w:color="auto"/>
            </w:tcBorders>
            <w:shd w:val="clear" w:color="000000" w:fill="FFFFFF"/>
            <w:noWrap/>
            <w:vAlign w:val="center"/>
            <w:hideMark/>
          </w:tcPr>
          <w:p w14:paraId="4DC968C8" w14:textId="6CC3D742"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229</w:t>
            </w:r>
          </w:p>
        </w:tc>
        <w:tc>
          <w:tcPr>
            <w:tcW w:w="894" w:type="dxa"/>
            <w:tcBorders>
              <w:top w:val="nil"/>
              <w:left w:val="nil"/>
              <w:bottom w:val="single" w:sz="4" w:space="0" w:color="auto"/>
              <w:right w:val="single" w:sz="4" w:space="0" w:color="auto"/>
            </w:tcBorders>
            <w:shd w:val="clear" w:color="000000" w:fill="FFFFFF"/>
            <w:noWrap/>
            <w:vAlign w:val="center"/>
            <w:hideMark/>
          </w:tcPr>
          <w:p w14:paraId="42C5A609" w14:textId="3BF31274"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1,0%</w:t>
            </w:r>
          </w:p>
        </w:tc>
        <w:tc>
          <w:tcPr>
            <w:tcW w:w="602" w:type="dxa"/>
            <w:tcBorders>
              <w:top w:val="nil"/>
              <w:left w:val="nil"/>
              <w:bottom w:val="single" w:sz="4" w:space="0" w:color="auto"/>
              <w:right w:val="single" w:sz="4" w:space="0" w:color="auto"/>
            </w:tcBorders>
            <w:shd w:val="clear" w:color="000000" w:fill="FFFFFF"/>
            <w:noWrap/>
            <w:vAlign w:val="center"/>
            <w:hideMark/>
          </w:tcPr>
          <w:p w14:paraId="337F77E5" w14:textId="3E7C6F5D"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17</w:t>
            </w:r>
          </w:p>
        </w:tc>
        <w:tc>
          <w:tcPr>
            <w:tcW w:w="1328" w:type="dxa"/>
            <w:tcBorders>
              <w:top w:val="nil"/>
              <w:left w:val="nil"/>
              <w:bottom w:val="single" w:sz="4" w:space="0" w:color="auto"/>
              <w:right w:val="single" w:sz="4" w:space="0" w:color="auto"/>
            </w:tcBorders>
            <w:shd w:val="clear" w:color="000000" w:fill="FFFFFF"/>
            <w:noWrap/>
            <w:vAlign w:val="center"/>
            <w:hideMark/>
          </w:tcPr>
          <w:p w14:paraId="3C2750C0" w14:textId="29D534E6"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256</w:t>
            </w:r>
          </w:p>
        </w:tc>
        <w:tc>
          <w:tcPr>
            <w:tcW w:w="894" w:type="dxa"/>
            <w:tcBorders>
              <w:top w:val="nil"/>
              <w:left w:val="nil"/>
              <w:bottom w:val="single" w:sz="4" w:space="0" w:color="auto"/>
              <w:right w:val="single" w:sz="4" w:space="0" w:color="auto"/>
            </w:tcBorders>
            <w:shd w:val="clear" w:color="000000" w:fill="FFFFFF"/>
            <w:noWrap/>
            <w:vAlign w:val="center"/>
            <w:hideMark/>
          </w:tcPr>
          <w:p w14:paraId="4B51B74E" w14:textId="376561A5" w:rsidR="005F41EC" w:rsidRPr="00D55857" w:rsidRDefault="005F41EC" w:rsidP="005F41EC">
            <w:pPr>
              <w:jc w:val="center"/>
              <w:rPr>
                <w:rFonts w:ascii="Calibri" w:hAnsi="Calibri" w:cs="Calibri"/>
                <w:color w:val="000000"/>
                <w:sz w:val="22"/>
                <w:szCs w:val="22"/>
              </w:rPr>
            </w:pPr>
            <w:r>
              <w:rPr>
                <w:rFonts w:ascii="Calibri" w:hAnsi="Calibri" w:cs="Calibri"/>
                <w:color w:val="000000"/>
                <w:sz w:val="22"/>
                <w:szCs w:val="22"/>
              </w:rPr>
              <w:t>1,0%</w:t>
            </w:r>
          </w:p>
        </w:tc>
        <w:tc>
          <w:tcPr>
            <w:tcW w:w="601" w:type="dxa"/>
            <w:tcBorders>
              <w:top w:val="nil"/>
              <w:left w:val="nil"/>
              <w:bottom w:val="single" w:sz="4" w:space="0" w:color="auto"/>
              <w:right w:val="single" w:sz="4" w:space="0" w:color="auto"/>
            </w:tcBorders>
            <w:shd w:val="clear" w:color="000000" w:fill="FFFFFF"/>
            <w:noWrap/>
            <w:vAlign w:val="center"/>
            <w:hideMark/>
          </w:tcPr>
          <w:p w14:paraId="18F21836" w14:textId="0973070E" w:rsidR="005F41EC" w:rsidRPr="00D55857" w:rsidRDefault="005F41EC" w:rsidP="005F41EC">
            <w:pPr>
              <w:jc w:val="center"/>
              <w:rPr>
                <w:rFonts w:ascii="Calibri" w:hAnsi="Calibri" w:cs="Calibri"/>
                <w:color w:val="000000"/>
                <w:sz w:val="22"/>
                <w:szCs w:val="22"/>
              </w:rPr>
            </w:pPr>
            <w:r w:rsidRPr="00D55857">
              <w:rPr>
                <w:rFonts w:ascii="Calibri" w:hAnsi="Calibri" w:cs="Calibri"/>
                <w:color w:val="000000"/>
                <w:sz w:val="22"/>
                <w:szCs w:val="22"/>
              </w:rPr>
              <w:t>17</w:t>
            </w:r>
          </w:p>
        </w:tc>
      </w:tr>
    </w:tbl>
    <w:p w14:paraId="20DA8191" w14:textId="399AF302" w:rsidR="00B21503" w:rsidRDefault="00B21503" w:rsidP="00830648">
      <w:pPr>
        <w:tabs>
          <w:tab w:val="left" w:pos="3569"/>
        </w:tabs>
        <w:rPr>
          <w:rFonts w:ascii="Segoe UI" w:hAnsi="Segoe UI" w:cs="Segoe UI"/>
          <w:bCs/>
          <w:color w:val="000091" w:themeColor="text1"/>
          <w:szCs w:val="28"/>
        </w:rPr>
      </w:pPr>
    </w:p>
    <w:p w14:paraId="736392E8" w14:textId="4E07D5FA" w:rsidR="00B21503" w:rsidRDefault="00B21503" w:rsidP="00464468">
      <w:pPr>
        <w:rPr>
          <w:rFonts w:ascii="Segoe UI" w:hAnsi="Segoe UI" w:cs="Segoe UI"/>
          <w:bCs/>
          <w:color w:val="000091" w:themeColor="text1"/>
          <w:szCs w:val="28"/>
        </w:rPr>
      </w:pPr>
    </w:p>
    <w:tbl>
      <w:tblPr>
        <w:tblW w:w="10556" w:type="dxa"/>
        <w:tblInd w:w="-685" w:type="dxa"/>
        <w:tblCellMar>
          <w:left w:w="70" w:type="dxa"/>
          <w:right w:w="70" w:type="dxa"/>
        </w:tblCellMar>
        <w:tblLook w:val="04A0" w:firstRow="1" w:lastRow="0" w:firstColumn="1" w:lastColumn="0" w:noHBand="0" w:noVBand="1"/>
      </w:tblPr>
      <w:tblGrid>
        <w:gridCol w:w="2191"/>
        <w:gridCol w:w="1337"/>
        <w:gridCol w:w="921"/>
        <w:gridCol w:w="604"/>
        <w:gridCol w:w="1336"/>
        <w:gridCol w:w="809"/>
        <w:gridCol w:w="603"/>
        <w:gridCol w:w="1336"/>
        <w:gridCol w:w="809"/>
        <w:gridCol w:w="602"/>
        <w:gridCol w:w="8"/>
      </w:tblGrid>
      <w:tr w:rsidR="00B21503" w:rsidRPr="00464468" w14:paraId="2DEEE231" w14:textId="77777777" w:rsidTr="00B54BC9">
        <w:trPr>
          <w:trHeight w:val="374"/>
        </w:trPr>
        <w:tc>
          <w:tcPr>
            <w:tcW w:w="10556" w:type="dxa"/>
            <w:gridSpan w:val="11"/>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6F752B" w14:textId="0869622E" w:rsidR="00B21503" w:rsidRPr="00464468" w:rsidRDefault="00B21503" w:rsidP="00B54BC9">
            <w:pPr>
              <w:jc w:val="center"/>
              <w:rPr>
                <w:rFonts w:ascii="Calibri" w:hAnsi="Calibri" w:cs="Calibri"/>
                <w:b/>
                <w:bCs/>
                <w:color w:val="000000"/>
              </w:rPr>
            </w:pPr>
            <w:r>
              <w:rPr>
                <w:rFonts w:ascii="Calibri" w:hAnsi="Calibri" w:cs="Calibri"/>
                <w:b/>
                <w:bCs/>
                <w:color w:val="000000"/>
              </w:rPr>
              <w:t>Exportations</w:t>
            </w:r>
          </w:p>
        </w:tc>
      </w:tr>
      <w:tr w:rsidR="00B21503" w:rsidRPr="00464468" w14:paraId="3A45685B" w14:textId="77777777" w:rsidTr="00B54BC9">
        <w:trPr>
          <w:trHeight w:val="299"/>
        </w:trPr>
        <w:tc>
          <w:tcPr>
            <w:tcW w:w="2191" w:type="dxa"/>
            <w:vMerge w:val="restart"/>
            <w:tcBorders>
              <w:top w:val="nil"/>
              <w:left w:val="single" w:sz="4" w:space="0" w:color="auto"/>
              <w:bottom w:val="single" w:sz="4" w:space="0" w:color="auto"/>
              <w:right w:val="single" w:sz="4" w:space="0" w:color="auto"/>
            </w:tcBorders>
            <w:shd w:val="clear" w:color="000000" w:fill="8DB4E2"/>
            <w:vAlign w:val="center"/>
            <w:hideMark/>
          </w:tcPr>
          <w:p w14:paraId="4068371C"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Pays partenaires</w:t>
            </w:r>
          </w:p>
        </w:tc>
        <w:tc>
          <w:tcPr>
            <w:tcW w:w="2862" w:type="dxa"/>
            <w:gridSpan w:val="3"/>
            <w:tcBorders>
              <w:top w:val="single" w:sz="4" w:space="0" w:color="auto"/>
              <w:left w:val="nil"/>
              <w:bottom w:val="single" w:sz="4" w:space="0" w:color="auto"/>
              <w:right w:val="single" w:sz="4" w:space="0" w:color="auto"/>
            </w:tcBorders>
            <w:shd w:val="clear" w:color="000000" w:fill="8DB4E2"/>
            <w:noWrap/>
            <w:vAlign w:val="bottom"/>
            <w:hideMark/>
          </w:tcPr>
          <w:p w14:paraId="791707AF"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2024</w:t>
            </w:r>
          </w:p>
        </w:tc>
        <w:tc>
          <w:tcPr>
            <w:tcW w:w="2748" w:type="dxa"/>
            <w:gridSpan w:val="3"/>
            <w:tcBorders>
              <w:top w:val="single" w:sz="4" w:space="0" w:color="auto"/>
              <w:left w:val="nil"/>
              <w:bottom w:val="single" w:sz="4" w:space="0" w:color="auto"/>
              <w:right w:val="single" w:sz="4" w:space="0" w:color="auto"/>
            </w:tcBorders>
            <w:shd w:val="clear" w:color="000000" w:fill="8DB4E2"/>
            <w:noWrap/>
            <w:vAlign w:val="bottom"/>
            <w:hideMark/>
          </w:tcPr>
          <w:p w14:paraId="038EAE9A"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2023</w:t>
            </w:r>
          </w:p>
        </w:tc>
        <w:tc>
          <w:tcPr>
            <w:tcW w:w="2755" w:type="dxa"/>
            <w:gridSpan w:val="4"/>
            <w:tcBorders>
              <w:top w:val="single" w:sz="4" w:space="0" w:color="auto"/>
              <w:left w:val="nil"/>
              <w:bottom w:val="single" w:sz="4" w:space="0" w:color="auto"/>
              <w:right w:val="single" w:sz="4" w:space="0" w:color="auto"/>
            </w:tcBorders>
            <w:shd w:val="clear" w:color="000000" w:fill="8DB4E2"/>
            <w:noWrap/>
            <w:vAlign w:val="bottom"/>
            <w:hideMark/>
          </w:tcPr>
          <w:p w14:paraId="13CCFE53"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2022</w:t>
            </w:r>
          </w:p>
        </w:tc>
      </w:tr>
      <w:tr w:rsidR="00B21503" w:rsidRPr="00464468" w14:paraId="740B0126" w14:textId="77777777" w:rsidTr="00B54BC9">
        <w:trPr>
          <w:gridAfter w:val="1"/>
          <w:wAfter w:w="8" w:type="dxa"/>
          <w:trHeight w:val="299"/>
        </w:trPr>
        <w:tc>
          <w:tcPr>
            <w:tcW w:w="2191" w:type="dxa"/>
            <w:vMerge/>
            <w:tcBorders>
              <w:top w:val="nil"/>
              <w:left w:val="single" w:sz="4" w:space="0" w:color="auto"/>
              <w:bottom w:val="single" w:sz="4" w:space="0" w:color="auto"/>
              <w:right w:val="single" w:sz="4" w:space="0" w:color="auto"/>
            </w:tcBorders>
            <w:vAlign w:val="center"/>
            <w:hideMark/>
          </w:tcPr>
          <w:p w14:paraId="13C1395D" w14:textId="77777777" w:rsidR="00B21503" w:rsidRPr="00464468" w:rsidRDefault="00B21503" w:rsidP="00B54BC9">
            <w:pPr>
              <w:rPr>
                <w:rFonts w:ascii="Calibri" w:hAnsi="Calibri" w:cs="Calibri"/>
                <w:b/>
                <w:bCs/>
                <w:color w:val="000000"/>
                <w:sz w:val="22"/>
                <w:szCs w:val="22"/>
              </w:rPr>
            </w:pPr>
          </w:p>
        </w:tc>
        <w:tc>
          <w:tcPr>
            <w:tcW w:w="1337" w:type="dxa"/>
            <w:tcBorders>
              <w:top w:val="nil"/>
              <w:left w:val="nil"/>
              <w:bottom w:val="single" w:sz="4" w:space="0" w:color="auto"/>
              <w:right w:val="single" w:sz="4" w:space="0" w:color="auto"/>
            </w:tcBorders>
            <w:shd w:val="clear" w:color="000000" w:fill="8DB4E2"/>
            <w:noWrap/>
            <w:vAlign w:val="bottom"/>
            <w:hideMark/>
          </w:tcPr>
          <w:p w14:paraId="76C25124"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Millions EUR</w:t>
            </w:r>
          </w:p>
        </w:tc>
        <w:tc>
          <w:tcPr>
            <w:tcW w:w="921" w:type="dxa"/>
            <w:tcBorders>
              <w:top w:val="nil"/>
              <w:left w:val="nil"/>
              <w:bottom w:val="single" w:sz="4" w:space="0" w:color="auto"/>
              <w:right w:val="single" w:sz="4" w:space="0" w:color="auto"/>
            </w:tcBorders>
            <w:shd w:val="clear" w:color="000000" w:fill="8DB4E2"/>
            <w:noWrap/>
            <w:vAlign w:val="bottom"/>
            <w:hideMark/>
          </w:tcPr>
          <w:p w14:paraId="17AFC04D"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w:t>
            </w:r>
          </w:p>
        </w:tc>
        <w:tc>
          <w:tcPr>
            <w:tcW w:w="604" w:type="dxa"/>
            <w:tcBorders>
              <w:top w:val="nil"/>
              <w:left w:val="nil"/>
              <w:bottom w:val="single" w:sz="4" w:space="0" w:color="auto"/>
              <w:right w:val="single" w:sz="4" w:space="0" w:color="auto"/>
            </w:tcBorders>
            <w:shd w:val="clear" w:color="000000" w:fill="8DB4E2"/>
            <w:noWrap/>
            <w:vAlign w:val="bottom"/>
            <w:hideMark/>
          </w:tcPr>
          <w:p w14:paraId="4C7104F1"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Rang</w:t>
            </w:r>
          </w:p>
        </w:tc>
        <w:tc>
          <w:tcPr>
            <w:tcW w:w="1336" w:type="dxa"/>
            <w:tcBorders>
              <w:top w:val="nil"/>
              <w:left w:val="nil"/>
              <w:bottom w:val="single" w:sz="4" w:space="0" w:color="auto"/>
              <w:right w:val="single" w:sz="4" w:space="0" w:color="auto"/>
            </w:tcBorders>
            <w:shd w:val="clear" w:color="000000" w:fill="8DB4E2"/>
            <w:noWrap/>
            <w:vAlign w:val="bottom"/>
            <w:hideMark/>
          </w:tcPr>
          <w:p w14:paraId="26D76985"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Millions EUR</w:t>
            </w:r>
          </w:p>
        </w:tc>
        <w:tc>
          <w:tcPr>
            <w:tcW w:w="809" w:type="dxa"/>
            <w:tcBorders>
              <w:top w:val="nil"/>
              <w:left w:val="nil"/>
              <w:bottom w:val="single" w:sz="4" w:space="0" w:color="auto"/>
              <w:right w:val="single" w:sz="4" w:space="0" w:color="auto"/>
            </w:tcBorders>
            <w:shd w:val="clear" w:color="000000" w:fill="8DB4E2"/>
            <w:noWrap/>
            <w:vAlign w:val="bottom"/>
            <w:hideMark/>
          </w:tcPr>
          <w:p w14:paraId="30F7D03C"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w:t>
            </w:r>
          </w:p>
        </w:tc>
        <w:tc>
          <w:tcPr>
            <w:tcW w:w="603" w:type="dxa"/>
            <w:tcBorders>
              <w:top w:val="nil"/>
              <w:left w:val="nil"/>
              <w:bottom w:val="single" w:sz="4" w:space="0" w:color="auto"/>
              <w:right w:val="single" w:sz="4" w:space="0" w:color="auto"/>
            </w:tcBorders>
            <w:shd w:val="clear" w:color="000000" w:fill="8DB4E2"/>
            <w:noWrap/>
            <w:vAlign w:val="bottom"/>
            <w:hideMark/>
          </w:tcPr>
          <w:p w14:paraId="2DFC5B20"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Rang</w:t>
            </w:r>
          </w:p>
        </w:tc>
        <w:tc>
          <w:tcPr>
            <w:tcW w:w="1336" w:type="dxa"/>
            <w:tcBorders>
              <w:top w:val="nil"/>
              <w:left w:val="nil"/>
              <w:bottom w:val="single" w:sz="4" w:space="0" w:color="auto"/>
              <w:right w:val="single" w:sz="4" w:space="0" w:color="auto"/>
            </w:tcBorders>
            <w:shd w:val="clear" w:color="000000" w:fill="8DB4E2"/>
            <w:noWrap/>
            <w:vAlign w:val="bottom"/>
            <w:hideMark/>
          </w:tcPr>
          <w:p w14:paraId="45409F7C"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Millions EUR</w:t>
            </w:r>
          </w:p>
        </w:tc>
        <w:tc>
          <w:tcPr>
            <w:tcW w:w="809" w:type="dxa"/>
            <w:tcBorders>
              <w:top w:val="nil"/>
              <w:left w:val="nil"/>
              <w:bottom w:val="single" w:sz="4" w:space="0" w:color="auto"/>
              <w:right w:val="single" w:sz="4" w:space="0" w:color="auto"/>
            </w:tcBorders>
            <w:shd w:val="clear" w:color="000000" w:fill="8DB4E2"/>
            <w:noWrap/>
            <w:vAlign w:val="bottom"/>
            <w:hideMark/>
          </w:tcPr>
          <w:p w14:paraId="5B332F1D"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w:t>
            </w:r>
          </w:p>
        </w:tc>
        <w:tc>
          <w:tcPr>
            <w:tcW w:w="602" w:type="dxa"/>
            <w:tcBorders>
              <w:top w:val="nil"/>
              <w:left w:val="nil"/>
              <w:bottom w:val="single" w:sz="4" w:space="0" w:color="auto"/>
              <w:right w:val="single" w:sz="4" w:space="0" w:color="auto"/>
            </w:tcBorders>
            <w:shd w:val="clear" w:color="000000" w:fill="8DB4E2"/>
            <w:noWrap/>
            <w:vAlign w:val="bottom"/>
            <w:hideMark/>
          </w:tcPr>
          <w:p w14:paraId="55A347EC"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Rang</w:t>
            </w:r>
          </w:p>
        </w:tc>
      </w:tr>
      <w:tr w:rsidR="00B21503" w:rsidRPr="00464468" w14:paraId="7CCEAF32"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537F588"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Lituanie</w:t>
            </w:r>
          </w:p>
        </w:tc>
        <w:tc>
          <w:tcPr>
            <w:tcW w:w="1337" w:type="dxa"/>
            <w:tcBorders>
              <w:top w:val="nil"/>
              <w:left w:val="nil"/>
              <w:bottom w:val="single" w:sz="4" w:space="0" w:color="auto"/>
              <w:right w:val="single" w:sz="4" w:space="0" w:color="auto"/>
            </w:tcBorders>
            <w:shd w:val="clear" w:color="000000" w:fill="FFFFFF"/>
            <w:noWrap/>
            <w:vAlign w:val="center"/>
            <w:hideMark/>
          </w:tcPr>
          <w:p w14:paraId="2ED33D7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3 387</w:t>
            </w:r>
          </w:p>
        </w:tc>
        <w:tc>
          <w:tcPr>
            <w:tcW w:w="921" w:type="dxa"/>
            <w:tcBorders>
              <w:top w:val="nil"/>
              <w:left w:val="nil"/>
              <w:bottom w:val="single" w:sz="4" w:space="0" w:color="auto"/>
              <w:right w:val="single" w:sz="4" w:space="0" w:color="auto"/>
            </w:tcBorders>
            <w:shd w:val="clear" w:color="000000" w:fill="FFFFFF"/>
            <w:noWrap/>
            <w:vAlign w:val="center"/>
            <w:hideMark/>
          </w:tcPr>
          <w:p w14:paraId="78E90C7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18,1%</w:t>
            </w:r>
          </w:p>
        </w:tc>
        <w:tc>
          <w:tcPr>
            <w:tcW w:w="604" w:type="dxa"/>
            <w:tcBorders>
              <w:top w:val="nil"/>
              <w:left w:val="nil"/>
              <w:bottom w:val="single" w:sz="4" w:space="0" w:color="auto"/>
              <w:right w:val="single" w:sz="4" w:space="0" w:color="auto"/>
            </w:tcBorders>
            <w:shd w:val="clear" w:color="000000" w:fill="FFFFFF"/>
            <w:noWrap/>
            <w:vAlign w:val="center"/>
            <w:hideMark/>
          </w:tcPr>
          <w:p w14:paraId="1F90FB9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w:t>
            </w:r>
          </w:p>
        </w:tc>
        <w:tc>
          <w:tcPr>
            <w:tcW w:w="1336" w:type="dxa"/>
            <w:tcBorders>
              <w:top w:val="nil"/>
              <w:left w:val="nil"/>
              <w:bottom w:val="single" w:sz="4" w:space="0" w:color="auto"/>
              <w:right w:val="single" w:sz="4" w:space="0" w:color="auto"/>
            </w:tcBorders>
            <w:shd w:val="clear" w:color="000000" w:fill="FFFFFF"/>
            <w:noWrap/>
            <w:vAlign w:val="center"/>
            <w:hideMark/>
          </w:tcPr>
          <w:p w14:paraId="1810A42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3 420</w:t>
            </w:r>
          </w:p>
        </w:tc>
        <w:tc>
          <w:tcPr>
            <w:tcW w:w="809" w:type="dxa"/>
            <w:tcBorders>
              <w:top w:val="nil"/>
              <w:left w:val="nil"/>
              <w:bottom w:val="single" w:sz="4" w:space="0" w:color="auto"/>
              <w:right w:val="single" w:sz="4" w:space="0" w:color="auto"/>
            </w:tcBorders>
            <w:shd w:val="clear" w:color="000000" w:fill="FFFFFF"/>
            <w:noWrap/>
            <w:vAlign w:val="center"/>
            <w:hideMark/>
          </w:tcPr>
          <w:p w14:paraId="51762CE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18,0%</w:t>
            </w:r>
          </w:p>
        </w:tc>
        <w:tc>
          <w:tcPr>
            <w:tcW w:w="603" w:type="dxa"/>
            <w:tcBorders>
              <w:top w:val="nil"/>
              <w:left w:val="nil"/>
              <w:bottom w:val="single" w:sz="4" w:space="0" w:color="auto"/>
              <w:right w:val="single" w:sz="4" w:space="0" w:color="auto"/>
            </w:tcBorders>
            <w:shd w:val="clear" w:color="000000" w:fill="FFFFFF"/>
            <w:noWrap/>
            <w:vAlign w:val="center"/>
            <w:hideMark/>
          </w:tcPr>
          <w:p w14:paraId="3DA597B9"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w:t>
            </w:r>
          </w:p>
        </w:tc>
        <w:tc>
          <w:tcPr>
            <w:tcW w:w="1336" w:type="dxa"/>
            <w:tcBorders>
              <w:top w:val="nil"/>
              <w:left w:val="nil"/>
              <w:bottom w:val="single" w:sz="4" w:space="0" w:color="auto"/>
              <w:right w:val="single" w:sz="4" w:space="0" w:color="auto"/>
            </w:tcBorders>
            <w:shd w:val="clear" w:color="000000" w:fill="FFFFFF"/>
            <w:noWrap/>
            <w:vAlign w:val="center"/>
            <w:hideMark/>
          </w:tcPr>
          <w:p w14:paraId="14BA6D13"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3 890</w:t>
            </w:r>
          </w:p>
        </w:tc>
        <w:tc>
          <w:tcPr>
            <w:tcW w:w="809" w:type="dxa"/>
            <w:tcBorders>
              <w:top w:val="nil"/>
              <w:left w:val="nil"/>
              <w:bottom w:val="single" w:sz="4" w:space="0" w:color="auto"/>
              <w:right w:val="single" w:sz="4" w:space="0" w:color="auto"/>
            </w:tcBorders>
            <w:shd w:val="clear" w:color="000000" w:fill="FFFFFF"/>
            <w:noWrap/>
            <w:vAlign w:val="center"/>
            <w:hideMark/>
          </w:tcPr>
          <w:p w14:paraId="4EF735B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18,2%</w:t>
            </w:r>
          </w:p>
        </w:tc>
        <w:tc>
          <w:tcPr>
            <w:tcW w:w="602" w:type="dxa"/>
            <w:tcBorders>
              <w:top w:val="nil"/>
              <w:left w:val="nil"/>
              <w:bottom w:val="single" w:sz="4" w:space="0" w:color="auto"/>
              <w:right w:val="single" w:sz="4" w:space="0" w:color="auto"/>
            </w:tcBorders>
            <w:shd w:val="clear" w:color="000000" w:fill="FFFFFF"/>
            <w:noWrap/>
            <w:vAlign w:val="center"/>
            <w:hideMark/>
          </w:tcPr>
          <w:p w14:paraId="7CD46FB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w:t>
            </w:r>
          </w:p>
        </w:tc>
      </w:tr>
      <w:tr w:rsidR="00B21503" w:rsidRPr="00464468" w14:paraId="7A8878BA"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20240AC6"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Estonie</w:t>
            </w:r>
          </w:p>
        </w:tc>
        <w:tc>
          <w:tcPr>
            <w:tcW w:w="1337" w:type="dxa"/>
            <w:tcBorders>
              <w:top w:val="nil"/>
              <w:left w:val="nil"/>
              <w:bottom w:val="single" w:sz="4" w:space="0" w:color="auto"/>
              <w:right w:val="single" w:sz="4" w:space="0" w:color="auto"/>
            </w:tcBorders>
            <w:shd w:val="clear" w:color="000000" w:fill="FFFFFF"/>
            <w:noWrap/>
            <w:vAlign w:val="center"/>
            <w:hideMark/>
          </w:tcPr>
          <w:p w14:paraId="21BE204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2 206</w:t>
            </w:r>
          </w:p>
        </w:tc>
        <w:tc>
          <w:tcPr>
            <w:tcW w:w="921" w:type="dxa"/>
            <w:tcBorders>
              <w:top w:val="nil"/>
              <w:left w:val="nil"/>
              <w:bottom w:val="single" w:sz="4" w:space="0" w:color="auto"/>
              <w:right w:val="single" w:sz="4" w:space="0" w:color="auto"/>
            </w:tcBorders>
            <w:shd w:val="clear" w:color="000000" w:fill="FFFFFF"/>
            <w:noWrap/>
            <w:vAlign w:val="center"/>
            <w:hideMark/>
          </w:tcPr>
          <w:p w14:paraId="15E90F2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11,8%</w:t>
            </w:r>
          </w:p>
        </w:tc>
        <w:tc>
          <w:tcPr>
            <w:tcW w:w="604" w:type="dxa"/>
            <w:tcBorders>
              <w:top w:val="nil"/>
              <w:left w:val="nil"/>
              <w:bottom w:val="single" w:sz="4" w:space="0" w:color="auto"/>
              <w:right w:val="single" w:sz="4" w:space="0" w:color="auto"/>
            </w:tcBorders>
            <w:shd w:val="clear" w:color="000000" w:fill="FFFFFF"/>
            <w:noWrap/>
            <w:vAlign w:val="center"/>
            <w:hideMark/>
          </w:tcPr>
          <w:p w14:paraId="28F7DA7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w:t>
            </w:r>
          </w:p>
        </w:tc>
        <w:tc>
          <w:tcPr>
            <w:tcW w:w="1336" w:type="dxa"/>
            <w:tcBorders>
              <w:top w:val="nil"/>
              <w:left w:val="nil"/>
              <w:bottom w:val="single" w:sz="4" w:space="0" w:color="auto"/>
              <w:right w:val="single" w:sz="4" w:space="0" w:color="auto"/>
            </w:tcBorders>
            <w:shd w:val="clear" w:color="000000" w:fill="FFFFFF"/>
            <w:noWrap/>
            <w:vAlign w:val="center"/>
            <w:hideMark/>
          </w:tcPr>
          <w:p w14:paraId="4785962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2 175</w:t>
            </w:r>
          </w:p>
        </w:tc>
        <w:tc>
          <w:tcPr>
            <w:tcW w:w="809" w:type="dxa"/>
            <w:tcBorders>
              <w:top w:val="nil"/>
              <w:left w:val="nil"/>
              <w:bottom w:val="single" w:sz="4" w:space="0" w:color="auto"/>
              <w:right w:val="single" w:sz="4" w:space="0" w:color="auto"/>
            </w:tcBorders>
            <w:shd w:val="clear" w:color="000000" w:fill="FFFFFF"/>
            <w:noWrap/>
            <w:vAlign w:val="center"/>
            <w:hideMark/>
          </w:tcPr>
          <w:p w14:paraId="6ADEE8A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11,4%</w:t>
            </w:r>
          </w:p>
        </w:tc>
        <w:tc>
          <w:tcPr>
            <w:tcW w:w="603" w:type="dxa"/>
            <w:tcBorders>
              <w:top w:val="nil"/>
              <w:left w:val="nil"/>
              <w:bottom w:val="single" w:sz="4" w:space="0" w:color="auto"/>
              <w:right w:val="single" w:sz="4" w:space="0" w:color="auto"/>
            </w:tcBorders>
            <w:shd w:val="clear" w:color="000000" w:fill="FFFFFF"/>
            <w:noWrap/>
            <w:vAlign w:val="center"/>
            <w:hideMark/>
          </w:tcPr>
          <w:p w14:paraId="048F4FBE"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w:t>
            </w:r>
          </w:p>
        </w:tc>
        <w:tc>
          <w:tcPr>
            <w:tcW w:w="1336" w:type="dxa"/>
            <w:tcBorders>
              <w:top w:val="nil"/>
              <w:left w:val="nil"/>
              <w:bottom w:val="single" w:sz="4" w:space="0" w:color="auto"/>
              <w:right w:val="single" w:sz="4" w:space="0" w:color="auto"/>
            </w:tcBorders>
            <w:shd w:val="clear" w:color="000000" w:fill="FFFFFF"/>
            <w:noWrap/>
            <w:vAlign w:val="center"/>
            <w:hideMark/>
          </w:tcPr>
          <w:p w14:paraId="08F2EB3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2 503</w:t>
            </w:r>
          </w:p>
        </w:tc>
        <w:tc>
          <w:tcPr>
            <w:tcW w:w="809" w:type="dxa"/>
            <w:tcBorders>
              <w:top w:val="nil"/>
              <w:left w:val="nil"/>
              <w:bottom w:val="single" w:sz="4" w:space="0" w:color="auto"/>
              <w:right w:val="single" w:sz="4" w:space="0" w:color="auto"/>
            </w:tcBorders>
            <w:shd w:val="clear" w:color="000000" w:fill="FFFFFF"/>
            <w:noWrap/>
            <w:vAlign w:val="center"/>
            <w:hideMark/>
          </w:tcPr>
          <w:p w14:paraId="6A356EF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11,7%</w:t>
            </w:r>
          </w:p>
        </w:tc>
        <w:tc>
          <w:tcPr>
            <w:tcW w:w="602" w:type="dxa"/>
            <w:tcBorders>
              <w:top w:val="nil"/>
              <w:left w:val="nil"/>
              <w:bottom w:val="single" w:sz="4" w:space="0" w:color="auto"/>
              <w:right w:val="single" w:sz="4" w:space="0" w:color="auto"/>
            </w:tcBorders>
            <w:shd w:val="clear" w:color="000000" w:fill="FFFFFF"/>
            <w:noWrap/>
            <w:vAlign w:val="center"/>
            <w:hideMark/>
          </w:tcPr>
          <w:p w14:paraId="1EF00F5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w:t>
            </w:r>
          </w:p>
        </w:tc>
      </w:tr>
      <w:tr w:rsidR="00B21503" w:rsidRPr="00464468" w14:paraId="5AEFCD91"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08C83C2"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Allemagne</w:t>
            </w:r>
          </w:p>
        </w:tc>
        <w:tc>
          <w:tcPr>
            <w:tcW w:w="1337" w:type="dxa"/>
            <w:tcBorders>
              <w:top w:val="nil"/>
              <w:left w:val="nil"/>
              <w:bottom w:val="single" w:sz="4" w:space="0" w:color="auto"/>
              <w:right w:val="single" w:sz="4" w:space="0" w:color="auto"/>
            </w:tcBorders>
            <w:shd w:val="clear" w:color="000000" w:fill="FFFFFF"/>
            <w:noWrap/>
            <w:vAlign w:val="center"/>
            <w:hideMark/>
          </w:tcPr>
          <w:p w14:paraId="09A7A3FD"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1 216</w:t>
            </w:r>
          </w:p>
        </w:tc>
        <w:tc>
          <w:tcPr>
            <w:tcW w:w="921" w:type="dxa"/>
            <w:tcBorders>
              <w:top w:val="nil"/>
              <w:left w:val="nil"/>
              <w:bottom w:val="single" w:sz="4" w:space="0" w:color="auto"/>
              <w:right w:val="single" w:sz="4" w:space="0" w:color="auto"/>
            </w:tcBorders>
            <w:shd w:val="clear" w:color="000000" w:fill="FFFFFF"/>
            <w:noWrap/>
            <w:vAlign w:val="center"/>
            <w:hideMark/>
          </w:tcPr>
          <w:p w14:paraId="7F4AD3B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6,5%</w:t>
            </w:r>
          </w:p>
        </w:tc>
        <w:tc>
          <w:tcPr>
            <w:tcW w:w="604" w:type="dxa"/>
            <w:tcBorders>
              <w:top w:val="nil"/>
              <w:left w:val="nil"/>
              <w:bottom w:val="single" w:sz="4" w:space="0" w:color="auto"/>
              <w:right w:val="single" w:sz="4" w:space="0" w:color="auto"/>
            </w:tcBorders>
            <w:shd w:val="clear" w:color="000000" w:fill="FFFFFF"/>
            <w:noWrap/>
            <w:vAlign w:val="center"/>
            <w:hideMark/>
          </w:tcPr>
          <w:p w14:paraId="74A8CCC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w:t>
            </w:r>
          </w:p>
        </w:tc>
        <w:tc>
          <w:tcPr>
            <w:tcW w:w="1336" w:type="dxa"/>
            <w:tcBorders>
              <w:top w:val="nil"/>
              <w:left w:val="nil"/>
              <w:bottom w:val="single" w:sz="4" w:space="0" w:color="auto"/>
              <w:right w:val="single" w:sz="4" w:space="0" w:color="auto"/>
            </w:tcBorders>
            <w:shd w:val="clear" w:color="000000" w:fill="FFFFFF"/>
            <w:noWrap/>
            <w:vAlign w:val="center"/>
            <w:hideMark/>
          </w:tcPr>
          <w:p w14:paraId="0AC5ACAB"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1 263</w:t>
            </w:r>
          </w:p>
        </w:tc>
        <w:tc>
          <w:tcPr>
            <w:tcW w:w="809" w:type="dxa"/>
            <w:tcBorders>
              <w:top w:val="nil"/>
              <w:left w:val="nil"/>
              <w:bottom w:val="single" w:sz="4" w:space="0" w:color="auto"/>
              <w:right w:val="single" w:sz="4" w:space="0" w:color="auto"/>
            </w:tcBorders>
            <w:shd w:val="clear" w:color="000000" w:fill="FFFFFF"/>
            <w:noWrap/>
            <w:vAlign w:val="center"/>
            <w:hideMark/>
          </w:tcPr>
          <w:p w14:paraId="5C7DC7A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6,6%</w:t>
            </w:r>
          </w:p>
        </w:tc>
        <w:tc>
          <w:tcPr>
            <w:tcW w:w="603" w:type="dxa"/>
            <w:tcBorders>
              <w:top w:val="nil"/>
              <w:left w:val="nil"/>
              <w:bottom w:val="single" w:sz="4" w:space="0" w:color="auto"/>
              <w:right w:val="single" w:sz="4" w:space="0" w:color="auto"/>
            </w:tcBorders>
            <w:shd w:val="clear" w:color="000000" w:fill="FFFFFF"/>
            <w:noWrap/>
            <w:vAlign w:val="center"/>
            <w:hideMark/>
          </w:tcPr>
          <w:p w14:paraId="60613FF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w:t>
            </w:r>
          </w:p>
        </w:tc>
        <w:tc>
          <w:tcPr>
            <w:tcW w:w="1336" w:type="dxa"/>
            <w:tcBorders>
              <w:top w:val="nil"/>
              <w:left w:val="nil"/>
              <w:bottom w:val="single" w:sz="4" w:space="0" w:color="auto"/>
              <w:right w:val="single" w:sz="4" w:space="0" w:color="auto"/>
            </w:tcBorders>
            <w:shd w:val="clear" w:color="000000" w:fill="FFFFFF"/>
            <w:noWrap/>
            <w:vAlign w:val="center"/>
            <w:hideMark/>
          </w:tcPr>
          <w:p w14:paraId="0DDFA899"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1 433</w:t>
            </w:r>
          </w:p>
        </w:tc>
        <w:tc>
          <w:tcPr>
            <w:tcW w:w="809" w:type="dxa"/>
            <w:tcBorders>
              <w:top w:val="nil"/>
              <w:left w:val="nil"/>
              <w:bottom w:val="single" w:sz="4" w:space="0" w:color="auto"/>
              <w:right w:val="single" w:sz="4" w:space="0" w:color="auto"/>
            </w:tcBorders>
            <w:shd w:val="clear" w:color="000000" w:fill="FFFFFF"/>
            <w:noWrap/>
            <w:vAlign w:val="center"/>
            <w:hideMark/>
          </w:tcPr>
          <w:p w14:paraId="58539C1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6,7%</w:t>
            </w:r>
          </w:p>
        </w:tc>
        <w:tc>
          <w:tcPr>
            <w:tcW w:w="602" w:type="dxa"/>
            <w:tcBorders>
              <w:top w:val="nil"/>
              <w:left w:val="nil"/>
              <w:bottom w:val="single" w:sz="4" w:space="0" w:color="auto"/>
              <w:right w:val="single" w:sz="4" w:space="0" w:color="auto"/>
            </w:tcBorders>
            <w:shd w:val="clear" w:color="000000" w:fill="FFFFFF"/>
            <w:noWrap/>
            <w:vAlign w:val="center"/>
            <w:hideMark/>
          </w:tcPr>
          <w:p w14:paraId="1A982C7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w:t>
            </w:r>
          </w:p>
        </w:tc>
      </w:tr>
      <w:tr w:rsidR="00B21503" w:rsidRPr="00464468" w14:paraId="411832ED"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3CAE0DD1"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Suède</w:t>
            </w:r>
          </w:p>
        </w:tc>
        <w:tc>
          <w:tcPr>
            <w:tcW w:w="1337" w:type="dxa"/>
            <w:tcBorders>
              <w:top w:val="nil"/>
              <w:left w:val="nil"/>
              <w:bottom w:val="single" w:sz="4" w:space="0" w:color="auto"/>
              <w:right w:val="single" w:sz="4" w:space="0" w:color="auto"/>
            </w:tcBorders>
            <w:shd w:val="clear" w:color="000000" w:fill="FFFFFF"/>
            <w:noWrap/>
            <w:vAlign w:val="center"/>
            <w:hideMark/>
          </w:tcPr>
          <w:p w14:paraId="7C54D21B"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1 030</w:t>
            </w:r>
          </w:p>
        </w:tc>
        <w:tc>
          <w:tcPr>
            <w:tcW w:w="921" w:type="dxa"/>
            <w:tcBorders>
              <w:top w:val="nil"/>
              <w:left w:val="nil"/>
              <w:bottom w:val="single" w:sz="4" w:space="0" w:color="auto"/>
              <w:right w:val="single" w:sz="4" w:space="0" w:color="auto"/>
            </w:tcBorders>
            <w:shd w:val="clear" w:color="000000" w:fill="FFFFFF"/>
            <w:noWrap/>
            <w:vAlign w:val="center"/>
            <w:hideMark/>
          </w:tcPr>
          <w:p w14:paraId="5D0D4513"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5,5%</w:t>
            </w:r>
          </w:p>
        </w:tc>
        <w:tc>
          <w:tcPr>
            <w:tcW w:w="604" w:type="dxa"/>
            <w:tcBorders>
              <w:top w:val="nil"/>
              <w:left w:val="nil"/>
              <w:bottom w:val="single" w:sz="4" w:space="0" w:color="auto"/>
              <w:right w:val="single" w:sz="4" w:space="0" w:color="auto"/>
            </w:tcBorders>
            <w:shd w:val="clear" w:color="000000" w:fill="FFFFFF"/>
            <w:noWrap/>
            <w:vAlign w:val="center"/>
            <w:hideMark/>
          </w:tcPr>
          <w:p w14:paraId="611FE01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w:t>
            </w:r>
          </w:p>
        </w:tc>
        <w:tc>
          <w:tcPr>
            <w:tcW w:w="1336" w:type="dxa"/>
            <w:tcBorders>
              <w:top w:val="nil"/>
              <w:left w:val="nil"/>
              <w:bottom w:val="single" w:sz="4" w:space="0" w:color="auto"/>
              <w:right w:val="single" w:sz="4" w:space="0" w:color="auto"/>
            </w:tcBorders>
            <w:shd w:val="clear" w:color="000000" w:fill="FFFFFF"/>
            <w:noWrap/>
            <w:vAlign w:val="center"/>
            <w:hideMark/>
          </w:tcPr>
          <w:p w14:paraId="1EE3B0D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1 132</w:t>
            </w:r>
          </w:p>
        </w:tc>
        <w:tc>
          <w:tcPr>
            <w:tcW w:w="809" w:type="dxa"/>
            <w:tcBorders>
              <w:top w:val="nil"/>
              <w:left w:val="nil"/>
              <w:bottom w:val="single" w:sz="4" w:space="0" w:color="auto"/>
              <w:right w:val="single" w:sz="4" w:space="0" w:color="auto"/>
            </w:tcBorders>
            <w:shd w:val="clear" w:color="000000" w:fill="FFFFFF"/>
            <w:noWrap/>
            <w:vAlign w:val="center"/>
            <w:hideMark/>
          </w:tcPr>
          <w:p w14:paraId="2002DDBA"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5,9%</w:t>
            </w:r>
          </w:p>
        </w:tc>
        <w:tc>
          <w:tcPr>
            <w:tcW w:w="603" w:type="dxa"/>
            <w:tcBorders>
              <w:top w:val="nil"/>
              <w:left w:val="nil"/>
              <w:bottom w:val="single" w:sz="4" w:space="0" w:color="auto"/>
              <w:right w:val="single" w:sz="4" w:space="0" w:color="auto"/>
            </w:tcBorders>
            <w:shd w:val="clear" w:color="000000" w:fill="FFFFFF"/>
            <w:noWrap/>
            <w:vAlign w:val="center"/>
            <w:hideMark/>
          </w:tcPr>
          <w:p w14:paraId="2900EAF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w:t>
            </w:r>
          </w:p>
        </w:tc>
        <w:tc>
          <w:tcPr>
            <w:tcW w:w="1336" w:type="dxa"/>
            <w:tcBorders>
              <w:top w:val="nil"/>
              <w:left w:val="nil"/>
              <w:bottom w:val="single" w:sz="4" w:space="0" w:color="auto"/>
              <w:right w:val="single" w:sz="4" w:space="0" w:color="auto"/>
            </w:tcBorders>
            <w:shd w:val="clear" w:color="000000" w:fill="FFFFFF"/>
            <w:noWrap/>
            <w:vAlign w:val="center"/>
            <w:hideMark/>
          </w:tcPr>
          <w:p w14:paraId="2342904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1 213</w:t>
            </w:r>
          </w:p>
        </w:tc>
        <w:tc>
          <w:tcPr>
            <w:tcW w:w="809" w:type="dxa"/>
            <w:tcBorders>
              <w:top w:val="nil"/>
              <w:left w:val="nil"/>
              <w:bottom w:val="single" w:sz="4" w:space="0" w:color="auto"/>
              <w:right w:val="single" w:sz="4" w:space="0" w:color="auto"/>
            </w:tcBorders>
            <w:shd w:val="clear" w:color="000000" w:fill="FFFFFF"/>
            <w:noWrap/>
            <w:vAlign w:val="center"/>
            <w:hideMark/>
          </w:tcPr>
          <w:p w14:paraId="4BA67E8A"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5,7%</w:t>
            </w:r>
          </w:p>
        </w:tc>
        <w:tc>
          <w:tcPr>
            <w:tcW w:w="602" w:type="dxa"/>
            <w:tcBorders>
              <w:top w:val="nil"/>
              <w:left w:val="nil"/>
              <w:bottom w:val="single" w:sz="4" w:space="0" w:color="auto"/>
              <w:right w:val="single" w:sz="4" w:space="0" w:color="auto"/>
            </w:tcBorders>
            <w:shd w:val="clear" w:color="000000" w:fill="FFFFFF"/>
            <w:noWrap/>
            <w:vAlign w:val="center"/>
            <w:hideMark/>
          </w:tcPr>
          <w:p w14:paraId="4D51402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w:t>
            </w:r>
          </w:p>
        </w:tc>
      </w:tr>
      <w:tr w:rsidR="00B21503" w:rsidRPr="00464468" w14:paraId="264A2451"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58667E7F"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Russie</w:t>
            </w:r>
          </w:p>
        </w:tc>
        <w:tc>
          <w:tcPr>
            <w:tcW w:w="1337" w:type="dxa"/>
            <w:tcBorders>
              <w:top w:val="nil"/>
              <w:left w:val="nil"/>
              <w:bottom w:val="single" w:sz="4" w:space="0" w:color="auto"/>
              <w:right w:val="single" w:sz="4" w:space="0" w:color="auto"/>
            </w:tcBorders>
            <w:shd w:val="clear" w:color="000000" w:fill="FFFFFF"/>
            <w:noWrap/>
            <w:vAlign w:val="center"/>
            <w:hideMark/>
          </w:tcPr>
          <w:p w14:paraId="6F0FA42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1 028</w:t>
            </w:r>
          </w:p>
        </w:tc>
        <w:tc>
          <w:tcPr>
            <w:tcW w:w="921" w:type="dxa"/>
            <w:tcBorders>
              <w:top w:val="nil"/>
              <w:left w:val="nil"/>
              <w:bottom w:val="single" w:sz="4" w:space="0" w:color="auto"/>
              <w:right w:val="single" w:sz="4" w:space="0" w:color="auto"/>
            </w:tcBorders>
            <w:shd w:val="clear" w:color="000000" w:fill="FFFFFF"/>
            <w:noWrap/>
            <w:vAlign w:val="center"/>
            <w:hideMark/>
          </w:tcPr>
          <w:p w14:paraId="46195A1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5,5%</w:t>
            </w:r>
          </w:p>
        </w:tc>
        <w:tc>
          <w:tcPr>
            <w:tcW w:w="604" w:type="dxa"/>
            <w:tcBorders>
              <w:top w:val="nil"/>
              <w:left w:val="nil"/>
              <w:bottom w:val="single" w:sz="4" w:space="0" w:color="auto"/>
              <w:right w:val="single" w:sz="4" w:space="0" w:color="auto"/>
            </w:tcBorders>
            <w:shd w:val="clear" w:color="000000" w:fill="FFFFFF"/>
            <w:noWrap/>
            <w:vAlign w:val="center"/>
            <w:hideMark/>
          </w:tcPr>
          <w:p w14:paraId="55A1E9D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w:t>
            </w:r>
          </w:p>
        </w:tc>
        <w:tc>
          <w:tcPr>
            <w:tcW w:w="1336" w:type="dxa"/>
            <w:tcBorders>
              <w:top w:val="nil"/>
              <w:left w:val="nil"/>
              <w:bottom w:val="single" w:sz="4" w:space="0" w:color="auto"/>
              <w:right w:val="single" w:sz="4" w:space="0" w:color="auto"/>
            </w:tcBorders>
            <w:shd w:val="clear" w:color="000000" w:fill="FFFFFF"/>
            <w:noWrap/>
            <w:vAlign w:val="center"/>
            <w:hideMark/>
          </w:tcPr>
          <w:p w14:paraId="3F93B903"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1 131</w:t>
            </w:r>
          </w:p>
        </w:tc>
        <w:tc>
          <w:tcPr>
            <w:tcW w:w="809" w:type="dxa"/>
            <w:tcBorders>
              <w:top w:val="nil"/>
              <w:left w:val="nil"/>
              <w:bottom w:val="single" w:sz="4" w:space="0" w:color="auto"/>
              <w:right w:val="single" w:sz="4" w:space="0" w:color="auto"/>
            </w:tcBorders>
            <w:shd w:val="clear" w:color="000000" w:fill="FFFFFF"/>
            <w:noWrap/>
            <w:vAlign w:val="center"/>
            <w:hideMark/>
          </w:tcPr>
          <w:p w14:paraId="212D89E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5,9%</w:t>
            </w:r>
          </w:p>
        </w:tc>
        <w:tc>
          <w:tcPr>
            <w:tcW w:w="603" w:type="dxa"/>
            <w:tcBorders>
              <w:top w:val="nil"/>
              <w:left w:val="nil"/>
              <w:bottom w:val="single" w:sz="4" w:space="0" w:color="auto"/>
              <w:right w:val="single" w:sz="4" w:space="0" w:color="auto"/>
            </w:tcBorders>
            <w:shd w:val="clear" w:color="000000" w:fill="FFFFFF"/>
            <w:noWrap/>
            <w:vAlign w:val="center"/>
            <w:hideMark/>
          </w:tcPr>
          <w:p w14:paraId="6B0F0B6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w:t>
            </w:r>
          </w:p>
        </w:tc>
        <w:tc>
          <w:tcPr>
            <w:tcW w:w="1336" w:type="dxa"/>
            <w:tcBorders>
              <w:top w:val="nil"/>
              <w:left w:val="nil"/>
              <w:bottom w:val="single" w:sz="4" w:space="0" w:color="auto"/>
              <w:right w:val="single" w:sz="4" w:space="0" w:color="auto"/>
            </w:tcBorders>
            <w:shd w:val="clear" w:color="000000" w:fill="FFFFFF"/>
            <w:noWrap/>
            <w:vAlign w:val="center"/>
            <w:hideMark/>
          </w:tcPr>
          <w:p w14:paraId="3B361F2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1 198</w:t>
            </w:r>
          </w:p>
        </w:tc>
        <w:tc>
          <w:tcPr>
            <w:tcW w:w="809" w:type="dxa"/>
            <w:tcBorders>
              <w:top w:val="nil"/>
              <w:left w:val="nil"/>
              <w:bottom w:val="single" w:sz="4" w:space="0" w:color="auto"/>
              <w:right w:val="single" w:sz="4" w:space="0" w:color="auto"/>
            </w:tcBorders>
            <w:shd w:val="clear" w:color="000000" w:fill="FFFFFF"/>
            <w:noWrap/>
            <w:vAlign w:val="center"/>
            <w:hideMark/>
          </w:tcPr>
          <w:p w14:paraId="2655EAD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5,6%</w:t>
            </w:r>
          </w:p>
        </w:tc>
        <w:tc>
          <w:tcPr>
            <w:tcW w:w="602" w:type="dxa"/>
            <w:tcBorders>
              <w:top w:val="nil"/>
              <w:left w:val="nil"/>
              <w:bottom w:val="single" w:sz="4" w:space="0" w:color="auto"/>
              <w:right w:val="single" w:sz="4" w:space="0" w:color="auto"/>
            </w:tcBorders>
            <w:shd w:val="clear" w:color="000000" w:fill="FFFFFF"/>
            <w:noWrap/>
            <w:vAlign w:val="center"/>
            <w:hideMark/>
          </w:tcPr>
          <w:p w14:paraId="491E30FD"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w:t>
            </w:r>
          </w:p>
        </w:tc>
      </w:tr>
      <w:tr w:rsidR="00B21503" w:rsidRPr="00464468" w14:paraId="2EA5761D"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055FF911"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Royaume-Uni</w:t>
            </w:r>
          </w:p>
        </w:tc>
        <w:tc>
          <w:tcPr>
            <w:tcW w:w="1337" w:type="dxa"/>
            <w:tcBorders>
              <w:top w:val="nil"/>
              <w:left w:val="nil"/>
              <w:bottom w:val="single" w:sz="4" w:space="0" w:color="auto"/>
              <w:right w:val="single" w:sz="4" w:space="0" w:color="auto"/>
            </w:tcBorders>
            <w:shd w:val="clear" w:color="000000" w:fill="FFFFFF"/>
            <w:noWrap/>
            <w:vAlign w:val="center"/>
            <w:hideMark/>
          </w:tcPr>
          <w:p w14:paraId="4DE2B92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989</w:t>
            </w:r>
          </w:p>
        </w:tc>
        <w:tc>
          <w:tcPr>
            <w:tcW w:w="921" w:type="dxa"/>
            <w:tcBorders>
              <w:top w:val="nil"/>
              <w:left w:val="nil"/>
              <w:bottom w:val="single" w:sz="4" w:space="0" w:color="auto"/>
              <w:right w:val="single" w:sz="4" w:space="0" w:color="auto"/>
            </w:tcBorders>
            <w:shd w:val="clear" w:color="000000" w:fill="FFFFFF"/>
            <w:noWrap/>
            <w:vAlign w:val="center"/>
            <w:hideMark/>
          </w:tcPr>
          <w:p w14:paraId="0DE5B49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5,3%</w:t>
            </w:r>
          </w:p>
        </w:tc>
        <w:tc>
          <w:tcPr>
            <w:tcW w:w="604" w:type="dxa"/>
            <w:tcBorders>
              <w:top w:val="nil"/>
              <w:left w:val="nil"/>
              <w:bottom w:val="single" w:sz="4" w:space="0" w:color="auto"/>
              <w:right w:val="single" w:sz="4" w:space="0" w:color="auto"/>
            </w:tcBorders>
            <w:shd w:val="clear" w:color="000000" w:fill="FFFFFF"/>
            <w:noWrap/>
            <w:vAlign w:val="center"/>
            <w:hideMark/>
          </w:tcPr>
          <w:p w14:paraId="404D806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w:t>
            </w:r>
          </w:p>
        </w:tc>
        <w:tc>
          <w:tcPr>
            <w:tcW w:w="1336" w:type="dxa"/>
            <w:tcBorders>
              <w:top w:val="nil"/>
              <w:left w:val="nil"/>
              <w:bottom w:val="single" w:sz="4" w:space="0" w:color="auto"/>
              <w:right w:val="single" w:sz="4" w:space="0" w:color="auto"/>
            </w:tcBorders>
            <w:shd w:val="clear" w:color="000000" w:fill="FFFFFF"/>
            <w:noWrap/>
            <w:vAlign w:val="center"/>
            <w:hideMark/>
          </w:tcPr>
          <w:p w14:paraId="7845070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917</w:t>
            </w:r>
          </w:p>
        </w:tc>
        <w:tc>
          <w:tcPr>
            <w:tcW w:w="809" w:type="dxa"/>
            <w:tcBorders>
              <w:top w:val="nil"/>
              <w:left w:val="nil"/>
              <w:bottom w:val="single" w:sz="4" w:space="0" w:color="auto"/>
              <w:right w:val="single" w:sz="4" w:space="0" w:color="auto"/>
            </w:tcBorders>
            <w:shd w:val="clear" w:color="000000" w:fill="FFFFFF"/>
            <w:noWrap/>
            <w:vAlign w:val="center"/>
            <w:hideMark/>
          </w:tcPr>
          <w:p w14:paraId="0B2B762E"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4,8%</w:t>
            </w:r>
          </w:p>
        </w:tc>
        <w:tc>
          <w:tcPr>
            <w:tcW w:w="603" w:type="dxa"/>
            <w:tcBorders>
              <w:top w:val="nil"/>
              <w:left w:val="nil"/>
              <w:bottom w:val="single" w:sz="4" w:space="0" w:color="auto"/>
              <w:right w:val="single" w:sz="4" w:space="0" w:color="auto"/>
            </w:tcBorders>
            <w:shd w:val="clear" w:color="000000" w:fill="FFFFFF"/>
            <w:noWrap/>
            <w:vAlign w:val="center"/>
            <w:hideMark/>
          </w:tcPr>
          <w:p w14:paraId="1D618613"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w:t>
            </w:r>
          </w:p>
        </w:tc>
        <w:tc>
          <w:tcPr>
            <w:tcW w:w="1336" w:type="dxa"/>
            <w:tcBorders>
              <w:top w:val="nil"/>
              <w:left w:val="nil"/>
              <w:bottom w:val="single" w:sz="4" w:space="0" w:color="auto"/>
              <w:right w:val="single" w:sz="4" w:space="0" w:color="auto"/>
            </w:tcBorders>
            <w:shd w:val="clear" w:color="000000" w:fill="FFFFFF"/>
            <w:noWrap/>
            <w:vAlign w:val="center"/>
            <w:hideMark/>
          </w:tcPr>
          <w:p w14:paraId="416145B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1 131</w:t>
            </w:r>
          </w:p>
        </w:tc>
        <w:tc>
          <w:tcPr>
            <w:tcW w:w="809" w:type="dxa"/>
            <w:tcBorders>
              <w:top w:val="nil"/>
              <w:left w:val="nil"/>
              <w:bottom w:val="single" w:sz="4" w:space="0" w:color="auto"/>
              <w:right w:val="single" w:sz="4" w:space="0" w:color="auto"/>
            </w:tcBorders>
            <w:shd w:val="clear" w:color="000000" w:fill="FFFFFF"/>
            <w:noWrap/>
            <w:vAlign w:val="center"/>
            <w:hideMark/>
          </w:tcPr>
          <w:p w14:paraId="4BBB796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5,3%</w:t>
            </w:r>
          </w:p>
        </w:tc>
        <w:tc>
          <w:tcPr>
            <w:tcW w:w="602" w:type="dxa"/>
            <w:tcBorders>
              <w:top w:val="nil"/>
              <w:left w:val="nil"/>
              <w:bottom w:val="single" w:sz="4" w:space="0" w:color="auto"/>
              <w:right w:val="single" w:sz="4" w:space="0" w:color="auto"/>
            </w:tcBorders>
            <w:shd w:val="clear" w:color="000000" w:fill="FFFFFF"/>
            <w:noWrap/>
            <w:vAlign w:val="center"/>
            <w:hideMark/>
          </w:tcPr>
          <w:p w14:paraId="722C758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w:t>
            </w:r>
          </w:p>
        </w:tc>
      </w:tr>
      <w:tr w:rsidR="00B21503" w:rsidRPr="00464468" w14:paraId="4989CD80"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1CB107AF"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Pologne</w:t>
            </w:r>
          </w:p>
        </w:tc>
        <w:tc>
          <w:tcPr>
            <w:tcW w:w="1337" w:type="dxa"/>
            <w:tcBorders>
              <w:top w:val="nil"/>
              <w:left w:val="nil"/>
              <w:bottom w:val="single" w:sz="4" w:space="0" w:color="auto"/>
              <w:right w:val="single" w:sz="4" w:space="0" w:color="auto"/>
            </w:tcBorders>
            <w:shd w:val="clear" w:color="000000" w:fill="FFFFFF"/>
            <w:noWrap/>
            <w:vAlign w:val="center"/>
            <w:hideMark/>
          </w:tcPr>
          <w:p w14:paraId="4E80938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808</w:t>
            </w:r>
          </w:p>
        </w:tc>
        <w:tc>
          <w:tcPr>
            <w:tcW w:w="921" w:type="dxa"/>
            <w:tcBorders>
              <w:top w:val="nil"/>
              <w:left w:val="nil"/>
              <w:bottom w:val="single" w:sz="4" w:space="0" w:color="auto"/>
              <w:right w:val="single" w:sz="4" w:space="0" w:color="auto"/>
            </w:tcBorders>
            <w:shd w:val="clear" w:color="000000" w:fill="FFFFFF"/>
            <w:noWrap/>
            <w:vAlign w:val="center"/>
            <w:hideMark/>
          </w:tcPr>
          <w:p w14:paraId="35A94CE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4,3%</w:t>
            </w:r>
          </w:p>
        </w:tc>
        <w:tc>
          <w:tcPr>
            <w:tcW w:w="604" w:type="dxa"/>
            <w:tcBorders>
              <w:top w:val="nil"/>
              <w:left w:val="nil"/>
              <w:bottom w:val="single" w:sz="4" w:space="0" w:color="auto"/>
              <w:right w:val="single" w:sz="4" w:space="0" w:color="auto"/>
            </w:tcBorders>
            <w:shd w:val="clear" w:color="000000" w:fill="FFFFFF"/>
            <w:noWrap/>
            <w:vAlign w:val="center"/>
            <w:hideMark/>
          </w:tcPr>
          <w:p w14:paraId="3AF935F4"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w:t>
            </w:r>
          </w:p>
        </w:tc>
        <w:tc>
          <w:tcPr>
            <w:tcW w:w="1336" w:type="dxa"/>
            <w:tcBorders>
              <w:top w:val="nil"/>
              <w:left w:val="nil"/>
              <w:bottom w:val="single" w:sz="4" w:space="0" w:color="auto"/>
              <w:right w:val="single" w:sz="4" w:space="0" w:color="auto"/>
            </w:tcBorders>
            <w:shd w:val="clear" w:color="000000" w:fill="FFFFFF"/>
            <w:noWrap/>
            <w:vAlign w:val="center"/>
            <w:hideMark/>
          </w:tcPr>
          <w:p w14:paraId="0597B64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739</w:t>
            </w:r>
          </w:p>
        </w:tc>
        <w:tc>
          <w:tcPr>
            <w:tcW w:w="809" w:type="dxa"/>
            <w:tcBorders>
              <w:top w:val="nil"/>
              <w:left w:val="nil"/>
              <w:bottom w:val="single" w:sz="4" w:space="0" w:color="auto"/>
              <w:right w:val="single" w:sz="4" w:space="0" w:color="auto"/>
            </w:tcBorders>
            <w:shd w:val="clear" w:color="000000" w:fill="FFFFFF"/>
            <w:noWrap/>
            <w:vAlign w:val="center"/>
            <w:hideMark/>
          </w:tcPr>
          <w:p w14:paraId="28384CB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3,9%</w:t>
            </w:r>
          </w:p>
        </w:tc>
        <w:tc>
          <w:tcPr>
            <w:tcW w:w="603" w:type="dxa"/>
            <w:tcBorders>
              <w:top w:val="nil"/>
              <w:left w:val="nil"/>
              <w:bottom w:val="single" w:sz="4" w:space="0" w:color="auto"/>
              <w:right w:val="single" w:sz="4" w:space="0" w:color="auto"/>
            </w:tcBorders>
            <w:shd w:val="clear" w:color="000000" w:fill="FFFFFF"/>
            <w:noWrap/>
            <w:vAlign w:val="center"/>
            <w:hideMark/>
          </w:tcPr>
          <w:p w14:paraId="12E48FB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8</w:t>
            </w:r>
          </w:p>
        </w:tc>
        <w:tc>
          <w:tcPr>
            <w:tcW w:w="1336" w:type="dxa"/>
            <w:tcBorders>
              <w:top w:val="nil"/>
              <w:left w:val="nil"/>
              <w:bottom w:val="single" w:sz="4" w:space="0" w:color="auto"/>
              <w:right w:val="single" w:sz="4" w:space="0" w:color="auto"/>
            </w:tcBorders>
            <w:shd w:val="clear" w:color="000000" w:fill="FFFFFF"/>
            <w:noWrap/>
            <w:vAlign w:val="center"/>
            <w:hideMark/>
          </w:tcPr>
          <w:p w14:paraId="6569CA33"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781</w:t>
            </w:r>
          </w:p>
        </w:tc>
        <w:tc>
          <w:tcPr>
            <w:tcW w:w="809" w:type="dxa"/>
            <w:tcBorders>
              <w:top w:val="nil"/>
              <w:left w:val="nil"/>
              <w:bottom w:val="single" w:sz="4" w:space="0" w:color="auto"/>
              <w:right w:val="single" w:sz="4" w:space="0" w:color="auto"/>
            </w:tcBorders>
            <w:shd w:val="clear" w:color="000000" w:fill="FFFFFF"/>
            <w:noWrap/>
            <w:vAlign w:val="center"/>
            <w:hideMark/>
          </w:tcPr>
          <w:p w14:paraId="267EF04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3,7%</w:t>
            </w:r>
          </w:p>
        </w:tc>
        <w:tc>
          <w:tcPr>
            <w:tcW w:w="602" w:type="dxa"/>
            <w:tcBorders>
              <w:top w:val="nil"/>
              <w:left w:val="nil"/>
              <w:bottom w:val="single" w:sz="4" w:space="0" w:color="auto"/>
              <w:right w:val="single" w:sz="4" w:space="0" w:color="auto"/>
            </w:tcBorders>
            <w:shd w:val="clear" w:color="000000" w:fill="FFFFFF"/>
            <w:noWrap/>
            <w:vAlign w:val="center"/>
            <w:hideMark/>
          </w:tcPr>
          <w:p w14:paraId="6ED3AC6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9</w:t>
            </w:r>
          </w:p>
        </w:tc>
      </w:tr>
      <w:tr w:rsidR="00B21503" w:rsidRPr="00464468" w14:paraId="7E8FA902"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469D787F"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Danemark</w:t>
            </w:r>
          </w:p>
        </w:tc>
        <w:tc>
          <w:tcPr>
            <w:tcW w:w="1337" w:type="dxa"/>
            <w:tcBorders>
              <w:top w:val="nil"/>
              <w:left w:val="nil"/>
              <w:bottom w:val="single" w:sz="4" w:space="0" w:color="auto"/>
              <w:right w:val="single" w:sz="4" w:space="0" w:color="auto"/>
            </w:tcBorders>
            <w:shd w:val="clear" w:color="000000" w:fill="FFFFFF"/>
            <w:noWrap/>
            <w:vAlign w:val="center"/>
            <w:hideMark/>
          </w:tcPr>
          <w:p w14:paraId="2224878A"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795</w:t>
            </w:r>
          </w:p>
        </w:tc>
        <w:tc>
          <w:tcPr>
            <w:tcW w:w="921" w:type="dxa"/>
            <w:tcBorders>
              <w:top w:val="nil"/>
              <w:left w:val="nil"/>
              <w:bottom w:val="single" w:sz="4" w:space="0" w:color="auto"/>
              <w:right w:val="single" w:sz="4" w:space="0" w:color="auto"/>
            </w:tcBorders>
            <w:shd w:val="clear" w:color="000000" w:fill="FFFFFF"/>
            <w:noWrap/>
            <w:vAlign w:val="center"/>
            <w:hideMark/>
          </w:tcPr>
          <w:p w14:paraId="6E70861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4,3%</w:t>
            </w:r>
          </w:p>
        </w:tc>
        <w:tc>
          <w:tcPr>
            <w:tcW w:w="604" w:type="dxa"/>
            <w:tcBorders>
              <w:top w:val="nil"/>
              <w:left w:val="nil"/>
              <w:bottom w:val="single" w:sz="4" w:space="0" w:color="auto"/>
              <w:right w:val="single" w:sz="4" w:space="0" w:color="auto"/>
            </w:tcBorders>
            <w:shd w:val="clear" w:color="000000" w:fill="FFFFFF"/>
            <w:noWrap/>
            <w:vAlign w:val="center"/>
            <w:hideMark/>
          </w:tcPr>
          <w:p w14:paraId="6DD4C25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8</w:t>
            </w:r>
          </w:p>
        </w:tc>
        <w:tc>
          <w:tcPr>
            <w:tcW w:w="1336" w:type="dxa"/>
            <w:tcBorders>
              <w:top w:val="nil"/>
              <w:left w:val="nil"/>
              <w:bottom w:val="single" w:sz="4" w:space="0" w:color="auto"/>
              <w:right w:val="single" w:sz="4" w:space="0" w:color="auto"/>
            </w:tcBorders>
            <w:shd w:val="clear" w:color="000000" w:fill="FFFFFF"/>
            <w:noWrap/>
            <w:vAlign w:val="center"/>
            <w:hideMark/>
          </w:tcPr>
          <w:p w14:paraId="1631A25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795</w:t>
            </w:r>
          </w:p>
        </w:tc>
        <w:tc>
          <w:tcPr>
            <w:tcW w:w="809" w:type="dxa"/>
            <w:tcBorders>
              <w:top w:val="nil"/>
              <w:left w:val="nil"/>
              <w:bottom w:val="single" w:sz="4" w:space="0" w:color="auto"/>
              <w:right w:val="single" w:sz="4" w:space="0" w:color="auto"/>
            </w:tcBorders>
            <w:shd w:val="clear" w:color="000000" w:fill="FFFFFF"/>
            <w:noWrap/>
            <w:vAlign w:val="center"/>
            <w:hideMark/>
          </w:tcPr>
          <w:p w14:paraId="092D7F6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4,2%</w:t>
            </w:r>
          </w:p>
        </w:tc>
        <w:tc>
          <w:tcPr>
            <w:tcW w:w="603" w:type="dxa"/>
            <w:tcBorders>
              <w:top w:val="nil"/>
              <w:left w:val="nil"/>
              <w:bottom w:val="single" w:sz="4" w:space="0" w:color="auto"/>
              <w:right w:val="single" w:sz="4" w:space="0" w:color="auto"/>
            </w:tcBorders>
            <w:shd w:val="clear" w:color="000000" w:fill="FFFFFF"/>
            <w:noWrap/>
            <w:vAlign w:val="center"/>
            <w:hideMark/>
          </w:tcPr>
          <w:p w14:paraId="317D7B2B"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w:t>
            </w:r>
          </w:p>
        </w:tc>
        <w:tc>
          <w:tcPr>
            <w:tcW w:w="1336" w:type="dxa"/>
            <w:tcBorders>
              <w:top w:val="nil"/>
              <w:left w:val="nil"/>
              <w:bottom w:val="single" w:sz="4" w:space="0" w:color="auto"/>
              <w:right w:val="single" w:sz="4" w:space="0" w:color="auto"/>
            </w:tcBorders>
            <w:shd w:val="clear" w:color="000000" w:fill="FFFFFF"/>
            <w:noWrap/>
            <w:vAlign w:val="center"/>
            <w:hideMark/>
          </w:tcPr>
          <w:p w14:paraId="35EAF7EA"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846</w:t>
            </w:r>
          </w:p>
        </w:tc>
        <w:tc>
          <w:tcPr>
            <w:tcW w:w="809" w:type="dxa"/>
            <w:tcBorders>
              <w:top w:val="nil"/>
              <w:left w:val="nil"/>
              <w:bottom w:val="single" w:sz="4" w:space="0" w:color="auto"/>
              <w:right w:val="single" w:sz="4" w:space="0" w:color="auto"/>
            </w:tcBorders>
            <w:shd w:val="clear" w:color="000000" w:fill="FFFFFF"/>
            <w:noWrap/>
            <w:vAlign w:val="center"/>
            <w:hideMark/>
          </w:tcPr>
          <w:p w14:paraId="123596F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4,0%</w:t>
            </w:r>
          </w:p>
        </w:tc>
        <w:tc>
          <w:tcPr>
            <w:tcW w:w="602" w:type="dxa"/>
            <w:tcBorders>
              <w:top w:val="nil"/>
              <w:left w:val="nil"/>
              <w:bottom w:val="single" w:sz="4" w:space="0" w:color="auto"/>
              <w:right w:val="single" w:sz="4" w:space="0" w:color="auto"/>
            </w:tcBorders>
            <w:shd w:val="clear" w:color="000000" w:fill="FFFFFF"/>
            <w:noWrap/>
            <w:vAlign w:val="center"/>
            <w:hideMark/>
          </w:tcPr>
          <w:p w14:paraId="2CEC413E"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8</w:t>
            </w:r>
          </w:p>
        </w:tc>
      </w:tr>
      <w:tr w:rsidR="00B21503" w:rsidRPr="00464468" w14:paraId="38C22D28"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853A87C"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Pays-Bas</w:t>
            </w:r>
          </w:p>
        </w:tc>
        <w:tc>
          <w:tcPr>
            <w:tcW w:w="1337" w:type="dxa"/>
            <w:tcBorders>
              <w:top w:val="nil"/>
              <w:left w:val="nil"/>
              <w:bottom w:val="single" w:sz="4" w:space="0" w:color="auto"/>
              <w:right w:val="single" w:sz="4" w:space="0" w:color="auto"/>
            </w:tcBorders>
            <w:shd w:val="clear" w:color="000000" w:fill="FFFFFF"/>
            <w:noWrap/>
            <w:vAlign w:val="center"/>
            <w:hideMark/>
          </w:tcPr>
          <w:p w14:paraId="6C73998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619</w:t>
            </w:r>
          </w:p>
        </w:tc>
        <w:tc>
          <w:tcPr>
            <w:tcW w:w="921" w:type="dxa"/>
            <w:tcBorders>
              <w:top w:val="nil"/>
              <w:left w:val="nil"/>
              <w:bottom w:val="single" w:sz="4" w:space="0" w:color="auto"/>
              <w:right w:val="single" w:sz="4" w:space="0" w:color="auto"/>
            </w:tcBorders>
            <w:shd w:val="clear" w:color="000000" w:fill="FFFFFF"/>
            <w:noWrap/>
            <w:vAlign w:val="center"/>
            <w:hideMark/>
          </w:tcPr>
          <w:p w14:paraId="29D4B864"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3,3%</w:t>
            </w:r>
          </w:p>
        </w:tc>
        <w:tc>
          <w:tcPr>
            <w:tcW w:w="604" w:type="dxa"/>
            <w:tcBorders>
              <w:top w:val="nil"/>
              <w:left w:val="nil"/>
              <w:bottom w:val="single" w:sz="4" w:space="0" w:color="auto"/>
              <w:right w:val="single" w:sz="4" w:space="0" w:color="auto"/>
            </w:tcBorders>
            <w:shd w:val="clear" w:color="000000" w:fill="FFFFFF"/>
            <w:noWrap/>
            <w:vAlign w:val="center"/>
            <w:hideMark/>
          </w:tcPr>
          <w:p w14:paraId="60B2959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9</w:t>
            </w:r>
          </w:p>
        </w:tc>
        <w:tc>
          <w:tcPr>
            <w:tcW w:w="1336" w:type="dxa"/>
            <w:tcBorders>
              <w:top w:val="nil"/>
              <w:left w:val="nil"/>
              <w:bottom w:val="single" w:sz="4" w:space="0" w:color="auto"/>
              <w:right w:val="single" w:sz="4" w:space="0" w:color="auto"/>
            </w:tcBorders>
            <w:shd w:val="clear" w:color="000000" w:fill="FFFFFF"/>
            <w:noWrap/>
            <w:vAlign w:val="center"/>
            <w:hideMark/>
          </w:tcPr>
          <w:p w14:paraId="3E21A3B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579</w:t>
            </w:r>
          </w:p>
        </w:tc>
        <w:tc>
          <w:tcPr>
            <w:tcW w:w="809" w:type="dxa"/>
            <w:tcBorders>
              <w:top w:val="nil"/>
              <w:left w:val="nil"/>
              <w:bottom w:val="single" w:sz="4" w:space="0" w:color="auto"/>
              <w:right w:val="single" w:sz="4" w:space="0" w:color="auto"/>
            </w:tcBorders>
            <w:shd w:val="clear" w:color="000000" w:fill="FFFFFF"/>
            <w:noWrap/>
            <w:vAlign w:val="center"/>
            <w:hideMark/>
          </w:tcPr>
          <w:p w14:paraId="2B925F8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3,0%</w:t>
            </w:r>
          </w:p>
        </w:tc>
        <w:tc>
          <w:tcPr>
            <w:tcW w:w="603" w:type="dxa"/>
            <w:tcBorders>
              <w:top w:val="nil"/>
              <w:left w:val="nil"/>
              <w:bottom w:val="single" w:sz="4" w:space="0" w:color="auto"/>
              <w:right w:val="single" w:sz="4" w:space="0" w:color="auto"/>
            </w:tcBorders>
            <w:shd w:val="clear" w:color="000000" w:fill="FFFFFF"/>
            <w:noWrap/>
            <w:vAlign w:val="center"/>
            <w:hideMark/>
          </w:tcPr>
          <w:p w14:paraId="296677E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10</w:t>
            </w:r>
          </w:p>
        </w:tc>
        <w:tc>
          <w:tcPr>
            <w:tcW w:w="1336" w:type="dxa"/>
            <w:tcBorders>
              <w:top w:val="nil"/>
              <w:left w:val="nil"/>
              <w:bottom w:val="single" w:sz="4" w:space="0" w:color="auto"/>
              <w:right w:val="single" w:sz="4" w:space="0" w:color="auto"/>
            </w:tcBorders>
            <w:shd w:val="clear" w:color="000000" w:fill="FFFFFF"/>
            <w:noWrap/>
            <w:vAlign w:val="center"/>
            <w:hideMark/>
          </w:tcPr>
          <w:p w14:paraId="5B13DBC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754</w:t>
            </w:r>
          </w:p>
        </w:tc>
        <w:tc>
          <w:tcPr>
            <w:tcW w:w="809" w:type="dxa"/>
            <w:tcBorders>
              <w:top w:val="nil"/>
              <w:left w:val="nil"/>
              <w:bottom w:val="single" w:sz="4" w:space="0" w:color="auto"/>
              <w:right w:val="single" w:sz="4" w:space="0" w:color="auto"/>
            </w:tcBorders>
            <w:shd w:val="clear" w:color="000000" w:fill="FFFFFF"/>
            <w:noWrap/>
            <w:vAlign w:val="center"/>
            <w:hideMark/>
          </w:tcPr>
          <w:p w14:paraId="23E30D8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3,5%</w:t>
            </w:r>
          </w:p>
        </w:tc>
        <w:tc>
          <w:tcPr>
            <w:tcW w:w="602" w:type="dxa"/>
            <w:tcBorders>
              <w:top w:val="nil"/>
              <w:left w:val="nil"/>
              <w:bottom w:val="single" w:sz="4" w:space="0" w:color="auto"/>
              <w:right w:val="single" w:sz="4" w:space="0" w:color="auto"/>
            </w:tcBorders>
            <w:shd w:val="clear" w:color="000000" w:fill="FFFFFF"/>
            <w:noWrap/>
            <w:vAlign w:val="center"/>
            <w:hideMark/>
          </w:tcPr>
          <w:p w14:paraId="5889C7C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10</w:t>
            </w:r>
          </w:p>
        </w:tc>
      </w:tr>
      <w:tr w:rsidR="00B21503" w:rsidRPr="00464468" w14:paraId="6A5F8737"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0C4B27C8"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Finlande</w:t>
            </w:r>
          </w:p>
        </w:tc>
        <w:tc>
          <w:tcPr>
            <w:tcW w:w="1337" w:type="dxa"/>
            <w:tcBorders>
              <w:top w:val="nil"/>
              <w:left w:val="nil"/>
              <w:bottom w:val="single" w:sz="4" w:space="0" w:color="auto"/>
              <w:right w:val="single" w:sz="4" w:space="0" w:color="auto"/>
            </w:tcBorders>
            <w:shd w:val="clear" w:color="000000" w:fill="FFFFFF"/>
            <w:noWrap/>
            <w:vAlign w:val="center"/>
            <w:hideMark/>
          </w:tcPr>
          <w:p w14:paraId="3A41EBBD"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554</w:t>
            </w:r>
          </w:p>
        </w:tc>
        <w:tc>
          <w:tcPr>
            <w:tcW w:w="921" w:type="dxa"/>
            <w:tcBorders>
              <w:top w:val="nil"/>
              <w:left w:val="nil"/>
              <w:bottom w:val="single" w:sz="4" w:space="0" w:color="auto"/>
              <w:right w:val="single" w:sz="4" w:space="0" w:color="auto"/>
            </w:tcBorders>
            <w:shd w:val="clear" w:color="000000" w:fill="FFFFFF"/>
            <w:noWrap/>
            <w:vAlign w:val="center"/>
            <w:hideMark/>
          </w:tcPr>
          <w:p w14:paraId="0DFD817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3,0%</w:t>
            </w:r>
          </w:p>
        </w:tc>
        <w:tc>
          <w:tcPr>
            <w:tcW w:w="604" w:type="dxa"/>
            <w:tcBorders>
              <w:top w:val="nil"/>
              <w:left w:val="nil"/>
              <w:bottom w:val="single" w:sz="4" w:space="0" w:color="auto"/>
              <w:right w:val="single" w:sz="4" w:space="0" w:color="auto"/>
            </w:tcBorders>
            <w:shd w:val="clear" w:color="000000" w:fill="FFFFFF"/>
            <w:noWrap/>
            <w:vAlign w:val="center"/>
            <w:hideMark/>
          </w:tcPr>
          <w:p w14:paraId="515C508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10</w:t>
            </w:r>
          </w:p>
        </w:tc>
        <w:tc>
          <w:tcPr>
            <w:tcW w:w="1336" w:type="dxa"/>
            <w:tcBorders>
              <w:top w:val="nil"/>
              <w:left w:val="nil"/>
              <w:bottom w:val="single" w:sz="4" w:space="0" w:color="auto"/>
              <w:right w:val="single" w:sz="4" w:space="0" w:color="auto"/>
            </w:tcBorders>
            <w:shd w:val="clear" w:color="000000" w:fill="FFFFFF"/>
            <w:noWrap/>
            <w:vAlign w:val="center"/>
            <w:hideMark/>
          </w:tcPr>
          <w:p w14:paraId="5D89270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695</w:t>
            </w:r>
          </w:p>
        </w:tc>
        <w:tc>
          <w:tcPr>
            <w:tcW w:w="809" w:type="dxa"/>
            <w:tcBorders>
              <w:top w:val="nil"/>
              <w:left w:val="nil"/>
              <w:bottom w:val="single" w:sz="4" w:space="0" w:color="auto"/>
              <w:right w:val="single" w:sz="4" w:space="0" w:color="auto"/>
            </w:tcBorders>
            <w:shd w:val="clear" w:color="000000" w:fill="FFFFFF"/>
            <w:noWrap/>
            <w:vAlign w:val="center"/>
            <w:hideMark/>
          </w:tcPr>
          <w:p w14:paraId="71AAF9ED"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3,6%</w:t>
            </w:r>
          </w:p>
        </w:tc>
        <w:tc>
          <w:tcPr>
            <w:tcW w:w="603" w:type="dxa"/>
            <w:tcBorders>
              <w:top w:val="nil"/>
              <w:left w:val="nil"/>
              <w:bottom w:val="single" w:sz="4" w:space="0" w:color="auto"/>
              <w:right w:val="single" w:sz="4" w:space="0" w:color="auto"/>
            </w:tcBorders>
            <w:shd w:val="clear" w:color="000000" w:fill="FFFFFF"/>
            <w:noWrap/>
            <w:vAlign w:val="center"/>
            <w:hideMark/>
          </w:tcPr>
          <w:p w14:paraId="4742F6C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9</w:t>
            </w:r>
          </w:p>
        </w:tc>
        <w:tc>
          <w:tcPr>
            <w:tcW w:w="1336" w:type="dxa"/>
            <w:tcBorders>
              <w:top w:val="nil"/>
              <w:left w:val="nil"/>
              <w:bottom w:val="single" w:sz="4" w:space="0" w:color="auto"/>
              <w:right w:val="single" w:sz="4" w:space="0" w:color="auto"/>
            </w:tcBorders>
            <w:shd w:val="clear" w:color="000000" w:fill="FFFFFF"/>
            <w:noWrap/>
            <w:vAlign w:val="center"/>
            <w:hideMark/>
          </w:tcPr>
          <w:p w14:paraId="6F01151D"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1 009</w:t>
            </w:r>
          </w:p>
        </w:tc>
        <w:tc>
          <w:tcPr>
            <w:tcW w:w="809" w:type="dxa"/>
            <w:tcBorders>
              <w:top w:val="nil"/>
              <w:left w:val="nil"/>
              <w:bottom w:val="single" w:sz="4" w:space="0" w:color="auto"/>
              <w:right w:val="single" w:sz="4" w:space="0" w:color="auto"/>
            </w:tcBorders>
            <w:shd w:val="clear" w:color="000000" w:fill="FFFFFF"/>
            <w:noWrap/>
            <w:vAlign w:val="center"/>
            <w:hideMark/>
          </w:tcPr>
          <w:p w14:paraId="1793F2E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4,7%</w:t>
            </w:r>
          </w:p>
        </w:tc>
        <w:tc>
          <w:tcPr>
            <w:tcW w:w="602" w:type="dxa"/>
            <w:tcBorders>
              <w:top w:val="nil"/>
              <w:left w:val="nil"/>
              <w:bottom w:val="single" w:sz="4" w:space="0" w:color="auto"/>
              <w:right w:val="single" w:sz="4" w:space="0" w:color="auto"/>
            </w:tcBorders>
            <w:shd w:val="clear" w:color="000000" w:fill="FFFFFF"/>
            <w:noWrap/>
            <w:vAlign w:val="center"/>
            <w:hideMark/>
          </w:tcPr>
          <w:p w14:paraId="21DB051A"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7</w:t>
            </w:r>
          </w:p>
        </w:tc>
      </w:tr>
      <w:tr w:rsidR="00B21503" w:rsidRPr="00464468" w14:paraId="5E938D2A"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DD341D6"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Etats-Unis</w:t>
            </w:r>
          </w:p>
        </w:tc>
        <w:tc>
          <w:tcPr>
            <w:tcW w:w="1337" w:type="dxa"/>
            <w:tcBorders>
              <w:top w:val="nil"/>
              <w:left w:val="nil"/>
              <w:bottom w:val="single" w:sz="4" w:space="0" w:color="auto"/>
              <w:right w:val="single" w:sz="4" w:space="0" w:color="auto"/>
            </w:tcBorders>
            <w:shd w:val="clear" w:color="000000" w:fill="FFFFFF"/>
            <w:noWrap/>
            <w:vAlign w:val="center"/>
            <w:hideMark/>
          </w:tcPr>
          <w:p w14:paraId="5C91AE6B"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531</w:t>
            </w:r>
          </w:p>
        </w:tc>
        <w:tc>
          <w:tcPr>
            <w:tcW w:w="921" w:type="dxa"/>
            <w:tcBorders>
              <w:top w:val="nil"/>
              <w:left w:val="nil"/>
              <w:bottom w:val="single" w:sz="4" w:space="0" w:color="auto"/>
              <w:right w:val="single" w:sz="4" w:space="0" w:color="auto"/>
            </w:tcBorders>
            <w:shd w:val="clear" w:color="000000" w:fill="FFFFFF"/>
            <w:noWrap/>
            <w:vAlign w:val="center"/>
            <w:hideMark/>
          </w:tcPr>
          <w:p w14:paraId="5BDD2C7D"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2,8%</w:t>
            </w:r>
          </w:p>
        </w:tc>
        <w:tc>
          <w:tcPr>
            <w:tcW w:w="604" w:type="dxa"/>
            <w:tcBorders>
              <w:top w:val="nil"/>
              <w:left w:val="nil"/>
              <w:bottom w:val="single" w:sz="4" w:space="0" w:color="auto"/>
              <w:right w:val="single" w:sz="4" w:space="0" w:color="auto"/>
            </w:tcBorders>
            <w:shd w:val="clear" w:color="000000" w:fill="FFFFFF"/>
            <w:noWrap/>
            <w:vAlign w:val="center"/>
            <w:hideMark/>
          </w:tcPr>
          <w:p w14:paraId="4F00ADA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11</w:t>
            </w:r>
          </w:p>
        </w:tc>
        <w:tc>
          <w:tcPr>
            <w:tcW w:w="1336" w:type="dxa"/>
            <w:tcBorders>
              <w:top w:val="nil"/>
              <w:left w:val="nil"/>
              <w:bottom w:val="single" w:sz="4" w:space="0" w:color="auto"/>
              <w:right w:val="single" w:sz="4" w:space="0" w:color="auto"/>
            </w:tcBorders>
            <w:shd w:val="clear" w:color="000000" w:fill="FFFFFF"/>
            <w:noWrap/>
            <w:vAlign w:val="center"/>
            <w:hideMark/>
          </w:tcPr>
          <w:p w14:paraId="681284E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508</w:t>
            </w:r>
          </w:p>
        </w:tc>
        <w:tc>
          <w:tcPr>
            <w:tcW w:w="809" w:type="dxa"/>
            <w:tcBorders>
              <w:top w:val="nil"/>
              <w:left w:val="nil"/>
              <w:bottom w:val="single" w:sz="4" w:space="0" w:color="auto"/>
              <w:right w:val="single" w:sz="4" w:space="0" w:color="auto"/>
            </w:tcBorders>
            <w:shd w:val="clear" w:color="000000" w:fill="FFFFFF"/>
            <w:noWrap/>
            <w:vAlign w:val="center"/>
            <w:hideMark/>
          </w:tcPr>
          <w:p w14:paraId="29819CB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2,7%</w:t>
            </w:r>
          </w:p>
        </w:tc>
        <w:tc>
          <w:tcPr>
            <w:tcW w:w="603" w:type="dxa"/>
            <w:tcBorders>
              <w:top w:val="nil"/>
              <w:left w:val="nil"/>
              <w:bottom w:val="single" w:sz="4" w:space="0" w:color="auto"/>
              <w:right w:val="single" w:sz="4" w:space="0" w:color="auto"/>
            </w:tcBorders>
            <w:shd w:val="clear" w:color="000000" w:fill="FFFFFF"/>
            <w:noWrap/>
            <w:vAlign w:val="center"/>
            <w:hideMark/>
          </w:tcPr>
          <w:p w14:paraId="6C64CEB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11</w:t>
            </w:r>
          </w:p>
        </w:tc>
        <w:tc>
          <w:tcPr>
            <w:tcW w:w="1336" w:type="dxa"/>
            <w:tcBorders>
              <w:top w:val="nil"/>
              <w:left w:val="nil"/>
              <w:bottom w:val="single" w:sz="4" w:space="0" w:color="auto"/>
              <w:right w:val="single" w:sz="4" w:space="0" w:color="auto"/>
            </w:tcBorders>
            <w:shd w:val="clear" w:color="000000" w:fill="FFFFFF"/>
            <w:noWrap/>
            <w:vAlign w:val="center"/>
            <w:hideMark/>
          </w:tcPr>
          <w:p w14:paraId="725A7CCB"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612</w:t>
            </w:r>
          </w:p>
        </w:tc>
        <w:tc>
          <w:tcPr>
            <w:tcW w:w="809" w:type="dxa"/>
            <w:tcBorders>
              <w:top w:val="nil"/>
              <w:left w:val="nil"/>
              <w:bottom w:val="single" w:sz="4" w:space="0" w:color="auto"/>
              <w:right w:val="single" w:sz="4" w:space="0" w:color="auto"/>
            </w:tcBorders>
            <w:shd w:val="clear" w:color="000000" w:fill="FFFFFF"/>
            <w:noWrap/>
            <w:vAlign w:val="center"/>
            <w:hideMark/>
          </w:tcPr>
          <w:p w14:paraId="14727AF3"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2,9%</w:t>
            </w:r>
          </w:p>
        </w:tc>
        <w:tc>
          <w:tcPr>
            <w:tcW w:w="602" w:type="dxa"/>
            <w:tcBorders>
              <w:top w:val="nil"/>
              <w:left w:val="nil"/>
              <w:bottom w:val="single" w:sz="4" w:space="0" w:color="auto"/>
              <w:right w:val="single" w:sz="4" w:space="0" w:color="auto"/>
            </w:tcBorders>
            <w:shd w:val="clear" w:color="000000" w:fill="FFFFFF"/>
            <w:noWrap/>
            <w:vAlign w:val="center"/>
            <w:hideMark/>
          </w:tcPr>
          <w:p w14:paraId="06E371DB"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11</w:t>
            </w:r>
          </w:p>
        </w:tc>
      </w:tr>
      <w:tr w:rsidR="00B21503" w:rsidRPr="00464468" w14:paraId="74F05313"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5D9B5D59"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France</w:t>
            </w:r>
          </w:p>
        </w:tc>
        <w:tc>
          <w:tcPr>
            <w:tcW w:w="1337" w:type="dxa"/>
            <w:tcBorders>
              <w:top w:val="nil"/>
              <w:left w:val="nil"/>
              <w:bottom w:val="single" w:sz="4" w:space="0" w:color="auto"/>
              <w:right w:val="single" w:sz="4" w:space="0" w:color="auto"/>
            </w:tcBorders>
            <w:shd w:val="clear" w:color="000000" w:fill="FFFFFF"/>
            <w:noWrap/>
            <w:vAlign w:val="center"/>
            <w:hideMark/>
          </w:tcPr>
          <w:p w14:paraId="2C58F80C"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515</w:t>
            </w:r>
          </w:p>
        </w:tc>
        <w:tc>
          <w:tcPr>
            <w:tcW w:w="921" w:type="dxa"/>
            <w:tcBorders>
              <w:top w:val="nil"/>
              <w:left w:val="nil"/>
              <w:bottom w:val="single" w:sz="4" w:space="0" w:color="auto"/>
              <w:right w:val="single" w:sz="4" w:space="0" w:color="auto"/>
            </w:tcBorders>
            <w:shd w:val="clear" w:color="000000" w:fill="FFFFFF"/>
            <w:noWrap/>
            <w:vAlign w:val="center"/>
            <w:hideMark/>
          </w:tcPr>
          <w:p w14:paraId="6C30C09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2,8%</w:t>
            </w:r>
          </w:p>
        </w:tc>
        <w:tc>
          <w:tcPr>
            <w:tcW w:w="604" w:type="dxa"/>
            <w:tcBorders>
              <w:top w:val="nil"/>
              <w:left w:val="nil"/>
              <w:bottom w:val="single" w:sz="4" w:space="0" w:color="auto"/>
              <w:right w:val="single" w:sz="4" w:space="0" w:color="auto"/>
            </w:tcBorders>
            <w:shd w:val="clear" w:color="000000" w:fill="FFFFFF"/>
            <w:noWrap/>
            <w:vAlign w:val="center"/>
            <w:hideMark/>
          </w:tcPr>
          <w:p w14:paraId="2559781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12</w:t>
            </w:r>
          </w:p>
        </w:tc>
        <w:tc>
          <w:tcPr>
            <w:tcW w:w="1336" w:type="dxa"/>
            <w:tcBorders>
              <w:top w:val="nil"/>
              <w:left w:val="nil"/>
              <w:bottom w:val="single" w:sz="4" w:space="0" w:color="auto"/>
              <w:right w:val="single" w:sz="4" w:space="0" w:color="auto"/>
            </w:tcBorders>
            <w:shd w:val="clear" w:color="000000" w:fill="FFFFFF"/>
            <w:noWrap/>
            <w:vAlign w:val="center"/>
            <w:hideMark/>
          </w:tcPr>
          <w:p w14:paraId="745FC69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490</w:t>
            </w:r>
          </w:p>
        </w:tc>
        <w:tc>
          <w:tcPr>
            <w:tcW w:w="809" w:type="dxa"/>
            <w:tcBorders>
              <w:top w:val="nil"/>
              <w:left w:val="nil"/>
              <w:bottom w:val="single" w:sz="4" w:space="0" w:color="auto"/>
              <w:right w:val="single" w:sz="4" w:space="0" w:color="auto"/>
            </w:tcBorders>
            <w:shd w:val="clear" w:color="000000" w:fill="FFFFFF"/>
            <w:noWrap/>
            <w:vAlign w:val="center"/>
            <w:hideMark/>
          </w:tcPr>
          <w:p w14:paraId="195190D4"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2,6%</w:t>
            </w:r>
          </w:p>
        </w:tc>
        <w:tc>
          <w:tcPr>
            <w:tcW w:w="603" w:type="dxa"/>
            <w:tcBorders>
              <w:top w:val="nil"/>
              <w:left w:val="nil"/>
              <w:bottom w:val="single" w:sz="4" w:space="0" w:color="auto"/>
              <w:right w:val="single" w:sz="4" w:space="0" w:color="auto"/>
            </w:tcBorders>
            <w:shd w:val="clear" w:color="000000" w:fill="FFFFFF"/>
            <w:noWrap/>
            <w:vAlign w:val="center"/>
            <w:hideMark/>
          </w:tcPr>
          <w:p w14:paraId="692DDB1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13</w:t>
            </w:r>
          </w:p>
        </w:tc>
        <w:tc>
          <w:tcPr>
            <w:tcW w:w="1336" w:type="dxa"/>
            <w:tcBorders>
              <w:top w:val="nil"/>
              <w:left w:val="nil"/>
              <w:bottom w:val="single" w:sz="4" w:space="0" w:color="auto"/>
              <w:right w:val="single" w:sz="4" w:space="0" w:color="auto"/>
            </w:tcBorders>
            <w:shd w:val="clear" w:color="000000" w:fill="FFFFFF"/>
            <w:noWrap/>
            <w:vAlign w:val="center"/>
            <w:hideMark/>
          </w:tcPr>
          <w:p w14:paraId="1F3A3B6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443</w:t>
            </w:r>
          </w:p>
        </w:tc>
        <w:tc>
          <w:tcPr>
            <w:tcW w:w="809" w:type="dxa"/>
            <w:tcBorders>
              <w:top w:val="nil"/>
              <w:left w:val="nil"/>
              <w:bottom w:val="single" w:sz="4" w:space="0" w:color="auto"/>
              <w:right w:val="single" w:sz="4" w:space="0" w:color="auto"/>
            </w:tcBorders>
            <w:shd w:val="clear" w:color="000000" w:fill="FFFFFF"/>
            <w:noWrap/>
            <w:vAlign w:val="center"/>
            <w:hideMark/>
          </w:tcPr>
          <w:p w14:paraId="180492B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2,1%</w:t>
            </w:r>
          </w:p>
        </w:tc>
        <w:tc>
          <w:tcPr>
            <w:tcW w:w="602" w:type="dxa"/>
            <w:tcBorders>
              <w:top w:val="nil"/>
              <w:left w:val="nil"/>
              <w:bottom w:val="single" w:sz="4" w:space="0" w:color="auto"/>
              <w:right w:val="single" w:sz="4" w:space="0" w:color="auto"/>
            </w:tcBorders>
            <w:shd w:val="clear" w:color="000000" w:fill="FFFFFF"/>
            <w:noWrap/>
            <w:vAlign w:val="center"/>
            <w:hideMark/>
          </w:tcPr>
          <w:p w14:paraId="027C485A"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13</w:t>
            </w:r>
          </w:p>
        </w:tc>
      </w:tr>
      <w:tr w:rsidR="00B21503" w:rsidRPr="00464468" w14:paraId="1EDCDBBF"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42AFEA74"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Norvège</w:t>
            </w:r>
          </w:p>
        </w:tc>
        <w:tc>
          <w:tcPr>
            <w:tcW w:w="1337" w:type="dxa"/>
            <w:tcBorders>
              <w:top w:val="nil"/>
              <w:left w:val="nil"/>
              <w:bottom w:val="single" w:sz="4" w:space="0" w:color="auto"/>
              <w:right w:val="single" w:sz="4" w:space="0" w:color="auto"/>
            </w:tcBorders>
            <w:shd w:val="clear" w:color="000000" w:fill="FFFFFF"/>
            <w:noWrap/>
            <w:vAlign w:val="center"/>
            <w:hideMark/>
          </w:tcPr>
          <w:p w14:paraId="71C239EE"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313</w:t>
            </w:r>
          </w:p>
        </w:tc>
        <w:tc>
          <w:tcPr>
            <w:tcW w:w="921" w:type="dxa"/>
            <w:tcBorders>
              <w:top w:val="nil"/>
              <w:left w:val="nil"/>
              <w:bottom w:val="single" w:sz="4" w:space="0" w:color="auto"/>
              <w:right w:val="single" w:sz="4" w:space="0" w:color="auto"/>
            </w:tcBorders>
            <w:shd w:val="clear" w:color="000000" w:fill="FFFFFF"/>
            <w:noWrap/>
            <w:vAlign w:val="center"/>
            <w:hideMark/>
          </w:tcPr>
          <w:p w14:paraId="43355ED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1,7%</w:t>
            </w:r>
          </w:p>
        </w:tc>
        <w:tc>
          <w:tcPr>
            <w:tcW w:w="604" w:type="dxa"/>
            <w:tcBorders>
              <w:top w:val="nil"/>
              <w:left w:val="nil"/>
              <w:bottom w:val="single" w:sz="4" w:space="0" w:color="auto"/>
              <w:right w:val="single" w:sz="4" w:space="0" w:color="auto"/>
            </w:tcBorders>
            <w:shd w:val="clear" w:color="000000" w:fill="FFFFFF"/>
            <w:noWrap/>
            <w:vAlign w:val="center"/>
            <w:hideMark/>
          </w:tcPr>
          <w:p w14:paraId="71842FD9"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13</w:t>
            </w:r>
          </w:p>
        </w:tc>
        <w:tc>
          <w:tcPr>
            <w:tcW w:w="1336" w:type="dxa"/>
            <w:tcBorders>
              <w:top w:val="nil"/>
              <w:left w:val="nil"/>
              <w:bottom w:val="single" w:sz="4" w:space="0" w:color="auto"/>
              <w:right w:val="single" w:sz="4" w:space="0" w:color="auto"/>
            </w:tcBorders>
            <w:shd w:val="clear" w:color="000000" w:fill="FFFFFF"/>
            <w:noWrap/>
            <w:vAlign w:val="center"/>
            <w:hideMark/>
          </w:tcPr>
          <w:p w14:paraId="772C9E8D"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343</w:t>
            </w:r>
          </w:p>
        </w:tc>
        <w:tc>
          <w:tcPr>
            <w:tcW w:w="809" w:type="dxa"/>
            <w:tcBorders>
              <w:top w:val="nil"/>
              <w:left w:val="nil"/>
              <w:bottom w:val="single" w:sz="4" w:space="0" w:color="auto"/>
              <w:right w:val="single" w:sz="4" w:space="0" w:color="auto"/>
            </w:tcBorders>
            <w:shd w:val="clear" w:color="000000" w:fill="FFFFFF"/>
            <w:noWrap/>
            <w:vAlign w:val="center"/>
            <w:hideMark/>
          </w:tcPr>
          <w:p w14:paraId="05CB77D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1,8%</w:t>
            </w:r>
          </w:p>
        </w:tc>
        <w:tc>
          <w:tcPr>
            <w:tcW w:w="603" w:type="dxa"/>
            <w:tcBorders>
              <w:top w:val="nil"/>
              <w:left w:val="nil"/>
              <w:bottom w:val="single" w:sz="4" w:space="0" w:color="auto"/>
              <w:right w:val="single" w:sz="4" w:space="0" w:color="auto"/>
            </w:tcBorders>
            <w:shd w:val="clear" w:color="000000" w:fill="FFFFFF"/>
            <w:noWrap/>
            <w:vAlign w:val="center"/>
            <w:hideMark/>
          </w:tcPr>
          <w:p w14:paraId="69C14D3E"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14</w:t>
            </w:r>
          </w:p>
        </w:tc>
        <w:tc>
          <w:tcPr>
            <w:tcW w:w="1336" w:type="dxa"/>
            <w:tcBorders>
              <w:top w:val="nil"/>
              <w:left w:val="nil"/>
              <w:bottom w:val="single" w:sz="4" w:space="0" w:color="auto"/>
              <w:right w:val="single" w:sz="4" w:space="0" w:color="auto"/>
            </w:tcBorders>
            <w:shd w:val="clear" w:color="000000" w:fill="FFFFFF"/>
            <w:noWrap/>
            <w:vAlign w:val="center"/>
            <w:hideMark/>
          </w:tcPr>
          <w:p w14:paraId="37BD311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409</w:t>
            </w:r>
          </w:p>
        </w:tc>
        <w:tc>
          <w:tcPr>
            <w:tcW w:w="809" w:type="dxa"/>
            <w:tcBorders>
              <w:top w:val="nil"/>
              <w:left w:val="nil"/>
              <w:bottom w:val="single" w:sz="4" w:space="0" w:color="auto"/>
              <w:right w:val="single" w:sz="4" w:space="0" w:color="auto"/>
            </w:tcBorders>
            <w:shd w:val="clear" w:color="000000" w:fill="FFFFFF"/>
            <w:noWrap/>
            <w:vAlign w:val="center"/>
            <w:hideMark/>
          </w:tcPr>
          <w:p w14:paraId="70104871"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1,9%</w:t>
            </w:r>
          </w:p>
        </w:tc>
        <w:tc>
          <w:tcPr>
            <w:tcW w:w="602" w:type="dxa"/>
            <w:tcBorders>
              <w:top w:val="nil"/>
              <w:left w:val="nil"/>
              <w:bottom w:val="single" w:sz="4" w:space="0" w:color="auto"/>
              <w:right w:val="single" w:sz="4" w:space="0" w:color="auto"/>
            </w:tcBorders>
            <w:shd w:val="clear" w:color="000000" w:fill="FFFFFF"/>
            <w:noWrap/>
            <w:vAlign w:val="center"/>
            <w:hideMark/>
          </w:tcPr>
          <w:p w14:paraId="3BB80D23"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14</w:t>
            </w:r>
          </w:p>
        </w:tc>
      </w:tr>
      <w:tr w:rsidR="00B21503" w:rsidRPr="00464468" w14:paraId="295E00BB"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19E6F4AC"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Ukraine</w:t>
            </w:r>
          </w:p>
        </w:tc>
        <w:tc>
          <w:tcPr>
            <w:tcW w:w="1337" w:type="dxa"/>
            <w:tcBorders>
              <w:top w:val="nil"/>
              <w:left w:val="nil"/>
              <w:bottom w:val="single" w:sz="4" w:space="0" w:color="auto"/>
              <w:right w:val="single" w:sz="4" w:space="0" w:color="auto"/>
            </w:tcBorders>
            <w:shd w:val="clear" w:color="000000" w:fill="FFFFFF"/>
            <w:noWrap/>
            <w:vAlign w:val="center"/>
            <w:hideMark/>
          </w:tcPr>
          <w:p w14:paraId="4C452C7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290</w:t>
            </w:r>
          </w:p>
        </w:tc>
        <w:tc>
          <w:tcPr>
            <w:tcW w:w="921" w:type="dxa"/>
            <w:tcBorders>
              <w:top w:val="nil"/>
              <w:left w:val="nil"/>
              <w:bottom w:val="single" w:sz="4" w:space="0" w:color="auto"/>
              <w:right w:val="single" w:sz="4" w:space="0" w:color="auto"/>
            </w:tcBorders>
            <w:shd w:val="clear" w:color="000000" w:fill="FFFFFF"/>
            <w:noWrap/>
            <w:vAlign w:val="center"/>
            <w:hideMark/>
          </w:tcPr>
          <w:p w14:paraId="14C8DEF4"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1,6%</w:t>
            </w:r>
          </w:p>
        </w:tc>
        <w:tc>
          <w:tcPr>
            <w:tcW w:w="604" w:type="dxa"/>
            <w:tcBorders>
              <w:top w:val="nil"/>
              <w:left w:val="nil"/>
              <w:bottom w:val="single" w:sz="4" w:space="0" w:color="auto"/>
              <w:right w:val="single" w:sz="4" w:space="0" w:color="auto"/>
            </w:tcBorders>
            <w:shd w:val="clear" w:color="000000" w:fill="FFFFFF"/>
            <w:noWrap/>
            <w:vAlign w:val="center"/>
            <w:hideMark/>
          </w:tcPr>
          <w:p w14:paraId="791DEFC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14</w:t>
            </w:r>
          </w:p>
        </w:tc>
        <w:tc>
          <w:tcPr>
            <w:tcW w:w="1336" w:type="dxa"/>
            <w:tcBorders>
              <w:top w:val="nil"/>
              <w:left w:val="nil"/>
              <w:bottom w:val="single" w:sz="4" w:space="0" w:color="auto"/>
              <w:right w:val="single" w:sz="4" w:space="0" w:color="auto"/>
            </w:tcBorders>
            <w:shd w:val="clear" w:color="000000" w:fill="FFFFFF"/>
            <w:noWrap/>
            <w:vAlign w:val="center"/>
            <w:hideMark/>
          </w:tcPr>
          <w:p w14:paraId="0C85C8BF"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498</w:t>
            </w:r>
          </w:p>
        </w:tc>
        <w:tc>
          <w:tcPr>
            <w:tcW w:w="809" w:type="dxa"/>
            <w:tcBorders>
              <w:top w:val="nil"/>
              <w:left w:val="nil"/>
              <w:bottom w:val="single" w:sz="4" w:space="0" w:color="auto"/>
              <w:right w:val="single" w:sz="4" w:space="0" w:color="auto"/>
            </w:tcBorders>
            <w:shd w:val="clear" w:color="000000" w:fill="FFFFFF"/>
            <w:noWrap/>
            <w:vAlign w:val="center"/>
            <w:hideMark/>
          </w:tcPr>
          <w:p w14:paraId="0372F44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2,6%</w:t>
            </w:r>
          </w:p>
        </w:tc>
        <w:tc>
          <w:tcPr>
            <w:tcW w:w="603" w:type="dxa"/>
            <w:tcBorders>
              <w:top w:val="nil"/>
              <w:left w:val="nil"/>
              <w:bottom w:val="single" w:sz="4" w:space="0" w:color="auto"/>
              <w:right w:val="single" w:sz="4" w:space="0" w:color="auto"/>
            </w:tcBorders>
            <w:shd w:val="clear" w:color="000000" w:fill="FFFFFF"/>
            <w:noWrap/>
            <w:vAlign w:val="center"/>
            <w:hideMark/>
          </w:tcPr>
          <w:p w14:paraId="6C11CD5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12</w:t>
            </w:r>
          </w:p>
        </w:tc>
        <w:tc>
          <w:tcPr>
            <w:tcW w:w="1336" w:type="dxa"/>
            <w:tcBorders>
              <w:top w:val="nil"/>
              <w:left w:val="nil"/>
              <w:bottom w:val="single" w:sz="4" w:space="0" w:color="auto"/>
              <w:right w:val="single" w:sz="4" w:space="0" w:color="auto"/>
            </w:tcBorders>
            <w:shd w:val="clear" w:color="000000" w:fill="FFFFFF"/>
            <w:noWrap/>
            <w:vAlign w:val="center"/>
            <w:hideMark/>
          </w:tcPr>
          <w:p w14:paraId="01FF470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521</w:t>
            </w:r>
          </w:p>
        </w:tc>
        <w:tc>
          <w:tcPr>
            <w:tcW w:w="809" w:type="dxa"/>
            <w:tcBorders>
              <w:top w:val="nil"/>
              <w:left w:val="nil"/>
              <w:bottom w:val="single" w:sz="4" w:space="0" w:color="auto"/>
              <w:right w:val="single" w:sz="4" w:space="0" w:color="auto"/>
            </w:tcBorders>
            <w:shd w:val="clear" w:color="000000" w:fill="FFFFFF"/>
            <w:noWrap/>
            <w:vAlign w:val="center"/>
            <w:hideMark/>
          </w:tcPr>
          <w:p w14:paraId="3954382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2,4%</w:t>
            </w:r>
          </w:p>
        </w:tc>
        <w:tc>
          <w:tcPr>
            <w:tcW w:w="602" w:type="dxa"/>
            <w:tcBorders>
              <w:top w:val="nil"/>
              <w:left w:val="nil"/>
              <w:bottom w:val="single" w:sz="4" w:space="0" w:color="auto"/>
              <w:right w:val="single" w:sz="4" w:space="0" w:color="auto"/>
            </w:tcBorders>
            <w:shd w:val="clear" w:color="000000" w:fill="FFFFFF"/>
            <w:noWrap/>
            <w:vAlign w:val="center"/>
            <w:hideMark/>
          </w:tcPr>
          <w:p w14:paraId="6EFADF86"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12</w:t>
            </w:r>
          </w:p>
        </w:tc>
      </w:tr>
      <w:tr w:rsidR="00B21503" w:rsidRPr="00464468" w14:paraId="727637FD" w14:textId="77777777" w:rsidTr="00B54BC9">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164ED2E3" w14:textId="77777777" w:rsidR="00B21503" w:rsidRPr="00464468" w:rsidRDefault="00B21503" w:rsidP="00B54BC9">
            <w:pPr>
              <w:jc w:val="center"/>
              <w:rPr>
                <w:rFonts w:ascii="Calibri" w:hAnsi="Calibri" w:cs="Calibri"/>
                <w:b/>
                <w:bCs/>
                <w:color w:val="000000"/>
                <w:sz w:val="22"/>
                <w:szCs w:val="22"/>
              </w:rPr>
            </w:pPr>
            <w:r w:rsidRPr="00464468">
              <w:rPr>
                <w:rFonts w:ascii="Calibri" w:hAnsi="Calibri" w:cs="Calibri"/>
                <w:b/>
                <w:bCs/>
                <w:color w:val="000000"/>
                <w:sz w:val="22"/>
                <w:szCs w:val="22"/>
              </w:rPr>
              <w:t>Italie</w:t>
            </w:r>
          </w:p>
        </w:tc>
        <w:tc>
          <w:tcPr>
            <w:tcW w:w="1337" w:type="dxa"/>
            <w:tcBorders>
              <w:top w:val="nil"/>
              <w:left w:val="nil"/>
              <w:bottom w:val="single" w:sz="4" w:space="0" w:color="auto"/>
              <w:right w:val="single" w:sz="4" w:space="0" w:color="auto"/>
            </w:tcBorders>
            <w:shd w:val="clear" w:color="000000" w:fill="FFFFFF"/>
            <w:noWrap/>
            <w:vAlign w:val="center"/>
            <w:hideMark/>
          </w:tcPr>
          <w:p w14:paraId="68FD16D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269</w:t>
            </w:r>
          </w:p>
        </w:tc>
        <w:tc>
          <w:tcPr>
            <w:tcW w:w="921" w:type="dxa"/>
            <w:tcBorders>
              <w:top w:val="nil"/>
              <w:left w:val="nil"/>
              <w:bottom w:val="single" w:sz="4" w:space="0" w:color="auto"/>
              <w:right w:val="single" w:sz="4" w:space="0" w:color="auto"/>
            </w:tcBorders>
            <w:shd w:val="clear" w:color="000000" w:fill="FFFFFF"/>
            <w:noWrap/>
            <w:vAlign w:val="center"/>
            <w:hideMark/>
          </w:tcPr>
          <w:p w14:paraId="50624824"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1,4%</w:t>
            </w:r>
          </w:p>
        </w:tc>
        <w:tc>
          <w:tcPr>
            <w:tcW w:w="604" w:type="dxa"/>
            <w:tcBorders>
              <w:top w:val="nil"/>
              <w:left w:val="nil"/>
              <w:bottom w:val="single" w:sz="4" w:space="0" w:color="auto"/>
              <w:right w:val="single" w:sz="4" w:space="0" w:color="auto"/>
            </w:tcBorders>
            <w:shd w:val="clear" w:color="000000" w:fill="FFFFFF"/>
            <w:noWrap/>
            <w:vAlign w:val="center"/>
            <w:hideMark/>
          </w:tcPr>
          <w:p w14:paraId="6576679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15</w:t>
            </w:r>
          </w:p>
        </w:tc>
        <w:tc>
          <w:tcPr>
            <w:tcW w:w="1336" w:type="dxa"/>
            <w:tcBorders>
              <w:top w:val="nil"/>
              <w:left w:val="nil"/>
              <w:bottom w:val="single" w:sz="4" w:space="0" w:color="auto"/>
              <w:right w:val="single" w:sz="4" w:space="0" w:color="auto"/>
            </w:tcBorders>
            <w:shd w:val="clear" w:color="000000" w:fill="FFFFFF"/>
            <w:noWrap/>
            <w:vAlign w:val="center"/>
            <w:hideMark/>
          </w:tcPr>
          <w:p w14:paraId="0A70F5E2"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268</w:t>
            </w:r>
          </w:p>
        </w:tc>
        <w:tc>
          <w:tcPr>
            <w:tcW w:w="809" w:type="dxa"/>
            <w:tcBorders>
              <w:top w:val="nil"/>
              <w:left w:val="nil"/>
              <w:bottom w:val="single" w:sz="4" w:space="0" w:color="auto"/>
              <w:right w:val="single" w:sz="4" w:space="0" w:color="auto"/>
            </w:tcBorders>
            <w:shd w:val="clear" w:color="000000" w:fill="FFFFFF"/>
            <w:noWrap/>
            <w:vAlign w:val="center"/>
            <w:hideMark/>
          </w:tcPr>
          <w:p w14:paraId="2A959367"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1,4%</w:t>
            </w:r>
          </w:p>
        </w:tc>
        <w:tc>
          <w:tcPr>
            <w:tcW w:w="603" w:type="dxa"/>
            <w:tcBorders>
              <w:top w:val="nil"/>
              <w:left w:val="nil"/>
              <w:bottom w:val="single" w:sz="4" w:space="0" w:color="auto"/>
              <w:right w:val="single" w:sz="4" w:space="0" w:color="auto"/>
            </w:tcBorders>
            <w:shd w:val="clear" w:color="000000" w:fill="FFFFFF"/>
            <w:noWrap/>
            <w:vAlign w:val="center"/>
            <w:hideMark/>
          </w:tcPr>
          <w:p w14:paraId="4744A804"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15</w:t>
            </w:r>
          </w:p>
        </w:tc>
        <w:tc>
          <w:tcPr>
            <w:tcW w:w="1336" w:type="dxa"/>
            <w:tcBorders>
              <w:top w:val="nil"/>
              <w:left w:val="nil"/>
              <w:bottom w:val="single" w:sz="4" w:space="0" w:color="auto"/>
              <w:right w:val="single" w:sz="4" w:space="0" w:color="auto"/>
            </w:tcBorders>
            <w:shd w:val="clear" w:color="000000" w:fill="FFFFFF"/>
            <w:noWrap/>
            <w:vAlign w:val="center"/>
            <w:hideMark/>
          </w:tcPr>
          <w:p w14:paraId="2FEE73E0"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321</w:t>
            </w:r>
          </w:p>
        </w:tc>
        <w:tc>
          <w:tcPr>
            <w:tcW w:w="809" w:type="dxa"/>
            <w:tcBorders>
              <w:top w:val="nil"/>
              <w:left w:val="nil"/>
              <w:bottom w:val="single" w:sz="4" w:space="0" w:color="auto"/>
              <w:right w:val="single" w:sz="4" w:space="0" w:color="auto"/>
            </w:tcBorders>
            <w:shd w:val="clear" w:color="000000" w:fill="FFFFFF"/>
            <w:noWrap/>
            <w:vAlign w:val="center"/>
            <w:hideMark/>
          </w:tcPr>
          <w:p w14:paraId="69E02AB8"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1,5%</w:t>
            </w:r>
          </w:p>
        </w:tc>
        <w:tc>
          <w:tcPr>
            <w:tcW w:w="602" w:type="dxa"/>
            <w:tcBorders>
              <w:top w:val="nil"/>
              <w:left w:val="nil"/>
              <w:bottom w:val="single" w:sz="4" w:space="0" w:color="auto"/>
              <w:right w:val="single" w:sz="4" w:space="0" w:color="auto"/>
            </w:tcBorders>
            <w:shd w:val="clear" w:color="000000" w:fill="FFFFFF"/>
            <w:noWrap/>
            <w:vAlign w:val="center"/>
            <w:hideMark/>
          </w:tcPr>
          <w:p w14:paraId="57D3C695" w14:textId="77777777" w:rsidR="00B21503" w:rsidRPr="00464468" w:rsidRDefault="00B21503" w:rsidP="00B54BC9">
            <w:pPr>
              <w:jc w:val="center"/>
              <w:rPr>
                <w:rFonts w:ascii="Calibri" w:hAnsi="Calibri" w:cs="Calibri"/>
                <w:color w:val="000000"/>
                <w:sz w:val="22"/>
                <w:szCs w:val="22"/>
              </w:rPr>
            </w:pPr>
            <w:r w:rsidRPr="00464468">
              <w:rPr>
                <w:rFonts w:ascii="Calibri" w:hAnsi="Calibri" w:cs="Calibri"/>
                <w:color w:val="000000"/>
                <w:sz w:val="22"/>
                <w:szCs w:val="22"/>
              </w:rPr>
              <w:t>15</w:t>
            </w:r>
          </w:p>
        </w:tc>
      </w:tr>
    </w:tbl>
    <w:p w14:paraId="1DA8AFDD" w14:textId="77777777" w:rsidR="00B21503" w:rsidRDefault="00B21503" w:rsidP="00464468">
      <w:pPr>
        <w:rPr>
          <w:rFonts w:ascii="Segoe UI" w:hAnsi="Segoe UI" w:cs="Segoe UI"/>
          <w:bCs/>
          <w:color w:val="000091" w:themeColor="text1"/>
          <w:szCs w:val="28"/>
        </w:rPr>
      </w:pPr>
    </w:p>
    <w:p w14:paraId="4D18656B" w14:textId="612D4565" w:rsidR="00464468" w:rsidRDefault="00464468" w:rsidP="00464468">
      <w:pPr>
        <w:rPr>
          <w:rFonts w:ascii="Segoe UI" w:hAnsi="Segoe UI" w:cs="Segoe UI"/>
          <w:bCs/>
          <w:color w:val="000091" w:themeColor="text1"/>
          <w:szCs w:val="28"/>
        </w:rPr>
      </w:pPr>
    </w:p>
    <w:p w14:paraId="20CC2B0E" w14:textId="539C791F" w:rsidR="00464468" w:rsidRDefault="00464468" w:rsidP="00464468">
      <w:pPr>
        <w:rPr>
          <w:rFonts w:ascii="Segoe UI" w:hAnsi="Segoe UI" w:cs="Segoe UI"/>
          <w:bCs/>
          <w:color w:val="000091" w:themeColor="text1"/>
          <w:szCs w:val="28"/>
        </w:rPr>
      </w:pPr>
    </w:p>
    <w:p w14:paraId="34DF8D94" w14:textId="7F472F25" w:rsidR="00464468" w:rsidRDefault="00464468" w:rsidP="00464468">
      <w:pPr>
        <w:rPr>
          <w:rFonts w:ascii="Segoe UI" w:hAnsi="Segoe UI" w:cs="Segoe UI"/>
          <w:bCs/>
          <w:color w:val="000091" w:themeColor="text1"/>
          <w:szCs w:val="28"/>
        </w:rPr>
      </w:pPr>
    </w:p>
    <w:p w14:paraId="2F6C9718" w14:textId="1E7E3465" w:rsidR="00464468" w:rsidRDefault="00464468" w:rsidP="00830648">
      <w:pPr>
        <w:tabs>
          <w:tab w:val="left" w:pos="3780"/>
        </w:tabs>
        <w:rPr>
          <w:rFonts w:ascii="Segoe UI" w:hAnsi="Segoe UI" w:cs="Segoe UI"/>
          <w:bCs/>
          <w:color w:val="000091" w:themeColor="text1"/>
          <w:szCs w:val="28"/>
        </w:rPr>
      </w:pPr>
    </w:p>
    <w:p w14:paraId="705A3540" w14:textId="77777777" w:rsidR="001F0CB4" w:rsidRDefault="001F0CB4" w:rsidP="00830648">
      <w:pPr>
        <w:jc w:val="center"/>
        <w:rPr>
          <w:rFonts w:ascii="Segoe UI" w:hAnsi="Segoe UI" w:cs="Segoe UI"/>
          <w:bCs/>
          <w:color w:val="000091" w:themeColor="text1"/>
          <w:szCs w:val="28"/>
        </w:rPr>
      </w:pPr>
    </w:p>
    <w:p w14:paraId="06E14863" w14:textId="0977EAD4" w:rsidR="003C060A" w:rsidRDefault="00756A18">
      <w:pPr>
        <w:tabs>
          <w:tab w:val="left" w:pos="5108"/>
        </w:tabs>
        <w:spacing w:before="120" w:after="160"/>
        <w:jc w:val="center"/>
        <w:rPr>
          <w:rFonts w:ascii="Segoe UI" w:hAnsi="Segoe UI" w:cs="Segoe UI"/>
          <w:bCs/>
          <w:color w:val="000091" w:themeColor="text1"/>
          <w:szCs w:val="28"/>
        </w:rPr>
      </w:pPr>
      <w:r>
        <w:rPr>
          <w:rFonts w:ascii="Segoe UI" w:hAnsi="Segoe UI" w:cs="Segoe UI"/>
          <w:bCs/>
          <w:noProof/>
          <w:color w:val="000091" w:themeColor="text1"/>
          <w:szCs w:val="28"/>
        </w:rPr>
        <w:lastRenderedPageBreak/>
        <mc:AlternateContent>
          <mc:Choice Requires="wps">
            <w:drawing>
              <wp:anchor distT="0" distB="0" distL="114300" distR="114300" simplePos="0" relativeHeight="251655165" behindDoc="1" locked="0" layoutInCell="1" allowOverlap="1" wp14:anchorId="5F263577" wp14:editId="3A306300">
                <wp:simplePos x="0" y="0"/>
                <wp:positionH relativeFrom="page">
                  <wp:align>left</wp:align>
                </wp:positionH>
                <wp:positionV relativeFrom="page">
                  <wp:posOffset>-3810</wp:posOffset>
                </wp:positionV>
                <wp:extent cx="7543800" cy="10677525"/>
                <wp:effectExtent l="0" t="0" r="0" b="9525"/>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A67D2" w14:textId="77777777" w:rsidR="00813B4F" w:rsidRDefault="00813B4F" w:rsidP="003C06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63577" id="Rectangle 10" o:spid="_x0000_s1031" style="position:absolute;left:0;text-align:left;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" fillcolor="#fef8e8" stroked="f" strokeweight="1pt">
                <v:textbox>
                  <w:txbxContent>
                    <w:p w14:paraId="434A67D2" w14:textId="77777777" w:rsidR="00813B4F" w:rsidRDefault="00813B4F" w:rsidP="003C060A"/>
                  </w:txbxContent>
                </v:textbox>
                <w10:wrap anchorx="page" anchory="page"/>
              </v:rect>
            </w:pict>
          </mc:Fallback>
        </mc:AlternateContent>
      </w:r>
      <w:r w:rsidR="00A132C2">
        <w:rPr>
          <w:rFonts w:ascii="Segoe UI" w:hAnsi="Segoe UI" w:cs="Segoe UI"/>
          <w:bCs/>
          <w:noProof/>
          <w:color w:val="000091" w:themeColor="text1"/>
          <w:szCs w:val="28"/>
        </w:rPr>
        <mc:AlternateContent>
          <mc:Choice Requires="wps">
            <w:drawing>
              <wp:anchor distT="0" distB="0" distL="114300" distR="114300" simplePos="0" relativeHeight="251663360" behindDoc="1" locked="0" layoutInCell="1" allowOverlap="1" wp14:anchorId="73FF70B4" wp14:editId="35B0618F">
                <wp:simplePos x="0" y="0"/>
                <wp:positionH relativeFrom="page">
                  <wp:posOffset>-71252</wp:posOffset>
                </wp:positionH>
                <wp:positionV relativeFrom="paragraph">
                  <wp:posOffset>-1150859</wp:posOffset>
                </wp:positionV>
                <wp:extent cx="7707086" cy="15344379"/>
                <wp:effectExtent l="0" t="0" r="8255" b="0"/>
                <wp:wrapNone/>
                <wp:docPr id="11" name="Rectangle 11"/>
                <wp:cNvGraphicFramePr/>
                <a:graphic xmlns:a="http://schemas.openxmlformats.org/drawingml/2006/main">
                  <a:graphicData uri="http://schemas.microsoft.com/office/word/2010/wordprocessingShape">
                    <wps:wsp>
                      <wps:cNvSpPr/>
                      <wps:spPr>
                        <a:xfrm>
                          <a:off x="0" y="0"/>
                          <a:ext cx="7707086" cy="15344379"/>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CD8D3E" w14:textId="52129C64" w:rsidR="00813B4F" w:rsidRDefault="00813B4F" w:rsidP="00813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F70B4" id="Rectangle 11" o:spid="_x0000_s1032" style="position:absolute;left:0;text-align:left;margin-left:-5.6pt;margin-top:-90.6pt;width:606.85pt;height:1208.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" fillcolor="#fef8e8" stroked="f" strokeweight="1pt">
                <v:textbox>
                  <w:txbxContent>
                    <w:p w14:paraId="31CD8D3E" w14:textId="52129C64" w:rsidR="00813B4F" w:rsidRDefault="00813B4F" w:rsidP="00813B4F">
                      <w:pPr>
                        <w:jc w:val="center"/>
                      </w:pPr>
                    </w:p>
                  </w:txbxContent>
                </v:textbox>
                <w10:wrap anchorx="page"/>
              </v:rect>
            </w:pict>
          </mc:Fallback>
        </mc:AlternateContent>
      </w:r>
      <w:r w:rsidR="00B06797">
        <w:rPr>
          <w:rFonts w:ascii="Segoe UI" w:hAnsi="Segoe UI" w:cs="Segoe UI"/>
          <w:bCs/>
          <w:color w:val="000091" w:themeColor="text1"/>
          <w:szCs w:val="28"/>
        </w:rPr>
        <w:t xml:space="preserve">ANNEXE </w:t>
      </w:r>
      <w:r w:rsidR="003803FD">
        <w:rPr>
          <w:rFonts w:ascii="Segoe UI" w:hAnsi="Segoe UI" w:cs="Segoe UI"/>
          <w:bCs/>
          <w:color w:val="000091" w:themeColor="text1"/>
          <w:szCs w:val="28"/>
        </w:rPr>
        <w:t>2</w:t>
      </w:r>
      <w:r w:rsidR="00B06797">
        <w:rPr>
          <w:rFonts w:ascii="Segoe UI" w:hAnsi="Segoe UI" w:cs="Segoe UI"/>
          <w:bCs/>
          <w:color w:val="000091" w:themeColor="text1"/>
          <w:szCs w:val="28"/>
        </w:rPr>
        <w:t> : Evolution des échanges en Lettonie</w:t>
      </w:r>
    </w:p>
    <w:p w14:paraId="0E2195B9" w14:textId="55EDB188" w:rsidR="003C060A" w:rsidRDefault="00B06797" w:rsidP="003C060A">
      <w:pPr>
        <w:jc w:val="center"/>
        <w:rPr>
          <w:rFonts w:ascii="Segoe UI" w:hAnsi="Segoe UI" w:cs="Segoe UI"/>
          <w:bCs/>
          <w:color w:val="000091" w:themeColor="text1"/>
          <w:szCs w:val="28"/>
        </w:rPr>
      </w:pPr>
      <w:r>
        <w:rPr>
          <w:noProof/>
        </w:rPr>
        <w:drawing>
          <wp:anchor distT="0" distB="0" distL="114300" distR="114300" simplePos="0" relativeHeight="251674624" behindDoc="0" locked="0" layoutInCell="1" allowOverlap="1" wp14:anchorId="7204C1A4" wp14:editId="5FD4FBEA">
            <wp:simplePos x="0" y="0"/>
            <wp:positionH relativeFrom="column">
              <wp:posOffset>-4445</wp:posOffset>
            </wp:positionH>
            <wp:positionV relativeFrom="paragraph">
              <wp:posOffset>-1905</wp:posOffset>
            </wp:positionV>
            <wp:extent cx="5922335" cy="3157870"/>
            <wp:effectExtent l="0" t="0" r="2540" b="4445"/>
            <wp:wrapSquare wrapText="bothSides"/>
            <wp:docPr id="14" name="Graphique 14">
              <a:extLst xmlns:a="http://schemas.openxmlformats.org/drawingml/2006/main">
                <a:ext uri="{FF2B5EF4-FFF2-40B4-BE49-F238E27FC236}">
                  <a16:creationId xmlns:a16="http://schemas.microsoft.com/office/drawing/2014/main" id="{F9279E5F-EE47-4498-9F06-79D2C3F21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C91C4D0" w14:textId="77777777" w:rsidR="003C060A" w:rsidRDefault="003C060A" w:rsidP="003803FD">
      <w:pPr>
        <w:jc w:val="center"/>
        <w:rPr>
          <w:rFonts w:ascii="Segoe UI" w:hAnsi="Segoe UI" w:cs="Segoe UI"/>
          <w:bCs/>
          <w:color w:val="000091" w:themeColor="text1"/>
          <w:szCs w:val="28"/>
        </w:rPr>
      </w:pPr>
    </w:p>
    <w:p w14:paraId="2BD90F89" w14:textId="77777777" w:rsidR="003C060A" w:rsidRDefault="003C060A" w:rsidP="003803FD">
      <w:pPr>
        <w:jc w:val="center"/>
        <w:rPr>
          <w:rFonts w:ascii="Segoe UI" w:hAnsi="Segoe UI" w:cs="Segoe UI"/>
          <w:bCs/>
          <w:color w:val="000091" w:themeColor="text1"/>
          <w:szCs w:val="28"/>
        </w:rPr>
      </w:pPr>
    </w:p>
    <w:p w14:paraId="48699F02" w14:textId="77777777" w:rsidR="003C060A" w:rsidRDefault="003C060A" w:rsidP="003803FD">
      <w:pPr>
        <w:jc w:val="center"/>
        <w:rPr>
          <w:rFonts w:ascii="Segoe UI" w:hAnsi="Segoe UI" w:cs="Segoe UI"/>
          <w:bCs/>
          <w:color w:val="000091" w:themeColor="text1"/>
          <w:szCs w:val="28"/>
        </w:rPr>
      </w:pPr>
    </w:p>
    <w:p w14:paraId="59EF450F" w14:textId="77777777" w:rsidR="003C060A" w:rsidRDefault="003C060A" w:rsidP="003803FD">
      <w:pPr>
        <w:jc w:val="center"/>
        <w:rPr>
          <w:rFonts w:ascii="Segoe UI" w:hAnsi="Segoe UI" w:cs="Segoe UI"/>
          <w:bCs/>
          <w:color w:val="000091" w:themeColor="text1"/>
          <w:szCs w:val="28"/>
        </w:rPr>
      </w:pPr>
    </w:p>
    <w:p w14:paraId="6F98D6B1" w14:textId="77777777" w:rsidR="003C060A" w:rsidRDefault="003C060A" w:rsidP="003803FD">
      <w:pPr>
        <w:jc w:val="center"/>
        <w:rPr>
          <w:rFonts w:ascii="Segoe UI" w:hAnsi="Segoe UI" w:cs="Segoe UI"/>
          <w:bCs/>
          <w:color w:val="000091" w:themeColor="text1"/>
          <w:szCs w:val="28"/>
        </w:rPr>
      </w:pPr>
    </w:p>
    <w:p w14:paraId="74DC8080" w14:textId="77777777" w:rsidR="003C060A" w:rsidRDefault="003C060A" w:rsidP="003803FD">
      <w:pPr>
        <w:jc w:val="center"/>
        <w:rPr>
          <w:rFonts w:ascii="Segoe UI" w:hAnsi="Segoe UI" w:cs="Segoe UI"/>
          <w:bCs/>
          <w:color w:val="000091" w:themeColor="text1"/>
          <w:szCs w:val="28"/>
        </w:rPr>
      </w:pPr>
    </w:p>
    <w:p w14:paraId="495E14ED" w14:textId="77777777" w:rsidR="003C060A" w:rsidRDefault="003C060A" w:rsidP="003803FD">
      <w:pPr>
        <w:jc w:val="center"/>
        <w:rPr>
          <w:rFonts w:ascii="Segoe UI" w:hAnsi="Segoe UI" w:cs="Segoe UI"/>
          <w:bCs/>
          <w:color w:val="000091" w:themeColor="text1"/>
          <w:szCs w:val="28"/>
        </w:rPr>
      </w:pPr>
    </w:p>
    <w:p w14:paraId="2609DC29" w14:textId="77777777" w:rsidR="003C060A" w:rsidRDefault="003C060A" w:rsidP="003803FD">
      <w:pPr>
        <w:jc w:val="center"/>
        <w:rPr>
          <w:rFonts w:ascii="Segoe UI" w:hAnsi="Segoe UI" w:cs="Segoe UI"/>
          <w:bCs/>
          <w:color w:val="000091" w:themeColor="text1"/>
          <w:szCs w:val="28"/>
        </w:rPr>
      </w:pPr>
    </w:p>
    <w:p w14:paraId="0B886480" w14:textId="77777777" w:rsidR="003C060A" w:rsidRDefault="003C060A" w:rsidP="003803FD">
      <w:pPr>
        <w:jc w:val="center"/>
        <w:rPr>
          <w:rFonts w:ascii="Segoe UI" w:hAnsi="Segoe UI" w:cs="Segoe UI"/>
          <w:bCs/>
          <w:color w:val="000091" w:themeColor="text1"/>
          <w:szCs w:val="28"/>
        </w:rPr>
      </w:pPr>
    </w:p>
    <w:p w14:paraId="0BA4BA2E" w14:textId="77777777" w:rsidR="003C060A" w:rsidRDefault="003C060A" w:rsidP="003803FD">
      <w:pPr>
        <w:jc w:val="center"/>
        <w:rPr>
          <w:rFonts w:ascii="Segoe UI" w:hAnsi="Segoe UI" w:cs="Segoe UI"/>
          <w:bCs/>
          <w:color w:val="000091" w:themeColor="text1"/>
          <w:szCs w:val="28"/>
        </w:rPr>
      </w:pPr>
    </w:p>
    <w:p w14:paraId="60872F53" w14:textId="58B83B88" w:rsidR="003C060A" w:rsidRDefault="007460E4" w:rsidP="003803FD">
      <w:pPr>
        <w:jc w:val="center"/>
        <w:rPr>
          <w:rFonts w:ascii="Segoe UI" w:hAnsi="Segoe UI" w:cs="Segoe UI"/>
          <w:bCs/>
          <w:color w:val="000091" w:themeColor="text1"/>
          <w:szCs w:val="28"/>
        </w:rPr>
      </w:pPr>
      <w:r>
        <w:rPr>
          <w:rFonts w:ascii="Segoe UI" w:hAnsi="Segoe UI" w:cs="Segoe UI"/>
          <w:bCs/>
          <w:noProof/>
          <w:color w:val="000091" w:themeColor="text1"/>
          <w:szCs w:val="28"/>
        </w:rPr>
        <mc:AlternateContent>
          <mc:Choice Requires="wps">
            <w:drawing>
              <wp:anchor distT="0" distB="0" distL="114300" distR="114300" simplePos="0" relativeHeight="251669504" behindDoc="1" locked="0" layoutInCell="1" allowOverlap="1" wp14:anchorId="2245A1E9" wp14:editId="73D62D4E">
                <wp:simplePos x="0" y="0"/>
                <wp:positionH relativeFrom="page">
                  <wp:posOffset>-521970</wp:posOffset>
                </wp:positionH>
                <wp:positionV relativeFrom="paragraph">
                  <wp:posOffset>-431800</wp:posOffset>
                </wp:positionV>
                <wp:extent cx="8175625" cy="15774035"/>
                <wp:effectExtent l="0" t="0" r="0" b="0"/>
                <wp:wrapNone/>
                <wp:docPr id="23" name="Rectangle 23"/>
                <wp:cNvGraphicFramePr/>
                <a:graphic xmlns:a="http://schemas.openxmlformats.org/drawingml/2006/main">
                  <a:graphicData uri="http://schemas.microsoft.com/office/word/2010/wordprocessingShape">
                    <wps:wsp>
                      <wps:cNvSpPr/>
                      <wps:spPr>
                        <a:xfrm>
                          <a:off x="0" y="0"/>
                          <a:ext cx="8175625" cy="1577403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162A6" id="Rectangle 23" o:spid="_x0000_s1026" style="position:absolute;margin-left:-41.1pt;margin-top:-34pt;width:643.75pt;height:1242.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" fillcolor="#fef8e8" stroked="f" strokeweight="1pt">
                <w10:wrap anchorx="page"/>
              </v:rect>
            </w:pict>
          </mc:Fallback>
        </mc:AlternateContent>
      </w:r>
    </w:p>
    <w:p w14:paraId="5FC9CE84" w14:textId="5CC6E11B" w:rsidR="003C060A" w:rsidRDefault="003C060A" w:rsidP="003803FD">
      <w:pPr>
        <w:jc w:val="center"/>
        <w:rPr>
          <w:rFonts w:ascii="Segoe UI" w:hAnsi="Segoe UI" w:cs="Segoe UI"/>
          <w:bCs/>
          <w:color w:val="000091" w:themeColor="text1"/>
          <w:szCs w:val="28"/>
        </w:rPr>
      </w:pPr>
    </w:p>
    <w:p w14:paraId="378A9DD6" w14:textId="688A27A2" w:rsidR="003C060A" w:rsidRDefault="003C060A" w:rsidP="003803FD">
      <w:pPr>
        <w:jc w:val="center"/>
        <w:rPr>
          <w:rFonts w:ascii="Segoe UI" w:hAnsi="Segoe UI" w:cs="Segoe UI"/>
          <w:bCs/>
          <w:color w:val="000091" w:themeColor="text1"/>
          <w:szCs w:val="28"/>
        </w:rPr>
      </w:pPr>
    </w:p>
    <w:p w14:paraId="3635166B" w14:textId="16293439" w:rsidR="003C060A" w:rsidRDefault="003C060A" w:rsidP="003803FD">
      <w:pPr>
        <w:jc w:val="center"/>
        <w:rPr>
          <w:rFonts w:ascii="Segoe UI" w:hAnsi="Segoe UI" w:cs="Segoe UI"/>
          <w:bCs/>
          <w:color w:val="000091" w:themeColor="text1"/>
          <w:szCs w:val="28"/>
        </w:rPr>
      </w:pPr>
    </w:p>
    <w:p w14:paraId="6966548E" w14:textId="77777777" w:rsidR="003C060A" w:rsidRDefault="003C060A" w:rsidP="003803FD">
      <w:pPr>
        <w:jc w:val="center"/>
        <w:rPr>
          <w:rFonts w:ascii="Segoe UI" w:hAnsi="Segoe UI" w:cs="Segoe UI"/>
          <w:bCs/>
          <w:color w:val="000091" w:themeColor="text1"/>
          <w:szCs w:val="28"/>
        </w:rPr>
      </w:pPr>
    </w:p>
    <w:p w14:paraId="0282A43A" w14:textId="77777777" w:rsidR="003C060A" w:rsidRDefault="003C060A" w:rsidP="003803FD">
      <w:pPr>
        <w:jc w:val="center"/>
        <w:rPr>
          <w:rFonts w:ascii="Segoe UI" w:hAnsi="Segoe UI" w:cs="Segoe UI"/>
          <w:bCs/>
          <w:color w:val="000091" w:themeColor="text1"/>
          <w:szCs w:val="28"/>
        </w:rPr>
      </w:pPr>
    </w:p>
    <w:p w14:paraId="68572E28" w14:textId="77777777" w:rsidR="003C060A" w:rsidRDefault="003C060A" w:rsidP="003803FD">
      <w:pPr>
        <w:jc w:val="center"/>
        <w:rPr>
          <w:rFonts w:ascii="Segoe UI" w:hAnsi="Segoe UI" w:cs="Segoe UI"/>
          <w:bCs/>
          <w:color w:val="000091" w:themeColor="text1"/>
          <w:szCs w:val="28"/>
        </w:rPr>
      </w:pPr>
    </w:p>
    <w:p w14:paraId="5E3221B5" w14:textId="77777777" w:rsidR="003C060A" w:rsidRDefault="003C060A" w:rsidP="003803FD">
      <w:pPr>
        <w:jc w:val="center"/>
        <w:rPr>
          <w:rFonts w:ascii="Segoe UI" w:hAnsi="Segoe UI" w:cs="Segoe UI"/>
          <w:bCs/>
          <w:color w:val="000091" w:themeColor="text1"/>
          <w:szCs w:val="28"/>
        </w:rPr>
      </w:pPr>
    </w:p>
    <w:p w14:paraId="02CA43AE" w14:textId="77777777" w:rsidR="003C060A" w:rsidRDefault="003C060A" w:rsidP="003803FD">
      <w:pPr>
        <w:jc w:val="center"/>
        <w:rPr>
          <w:rFonts w:ascii="Segoe UI" w:hAnsi="Segoe UI" w:cs="Segoe UI"/>
          <w:bCs/>
          <w:color w:val="000091" w:themeColor="text1"/>
          <w:szCs w:val="28"/>
        </w:rPr>
      </w:pPr>
    </w:p>
    <w:p w14:paraId="4392F9C2" w14:textId="77777777" w:rsidR="007460E4" w:rsidRDefault="007460E4" w:rsidP="003803FD">
      <w:pPr>
        <w:jc w:val="center"/>
        <w:rPr>
          <w:rFonts w:ascii="Segoe UI" w:hAnsi="Segoe UI" w:cs="Segoe UI"/>
          <w:bCs/>
          <w:color w:val="000091" w:themeColor="text1"/>
          <w:szCs w:val="28"/>
        </w:rPr>
      </w:pPr>
    </w:p>
    <w:p w14:paraId="09347680" w14:textId="77777777" w:rsidR="007460E4" w:rsidRDefault="007460E4" w:rsidP="003803FD">
      <w:pPr>
        <w:jc w:val="center"/>
        <w:rPr>
          <w:rFonts w:ascii="Segoe UI" w:hAnsi="Segoe UI" w:cs="Segoe UI"/>
          <w:bCs/>
          <w:color w:val="000091" w:themeColor="text1"/>
          <w:szCs w:val="28"/>
        </w:rPr>
      </w:pPr>
    </w:p>
    <w:p w14:paraId="2E6AC34A" w14:textId="77777777" w:rsidR="007460E4" w:rsidRDefault="007460E4" w:rsidP="003803FD">
      <w:pPr>
        <w:jc w:val="center"/>
        <w:rPr>
          <w:rFonts w:ascii="Segoe UI" w:hAnsi="Segoe UI" w:cs="Segoe UI"/>
          <w:bCs/>
          <w:color w:val="000091" w:themeColor="text1"/>
          <w:szCs w:val="28"/>
        </w:rPr>
      </w:pPr>
    </w:p>
    <w:p w14:paraId="3FDAA62D" w14:textId="77777777" w:rsidR="007460E4" w:rsidRDefault="007460E4" w:rsidP="003803FD">
      <w:pPr>
        <w:jc w:val="center"/>
        <w:rPr>
          <w:rFonts w:ascii="Segoe UI" w:hAnsi="Segoe UI" w:cs="Segoe UI"/>
          <w:bCs/>
          <w:color w:val="000091" w:themeColor="text1"/>
          <w:szCs w:val="28"/>
        </w:rPr>
      </w:pPr>
    </w:p>
    <w:p w14:paraId="403F30AA" w14:textId="77777777" w:rsidR="007460E4" w:rsidRDefault="007460E4" w:rsidP="003803FD">
      <w:pPr>
        <w:jc w:val="center"/>
        <w:rPr>
          <w:rFonts w:ascii="Segoe UI" w:hAnsi="Segoe UI" w:cs="Segoe UI"/>
          <w:bCs/>
          <w:color w:val="000091" w:themeColor="text1"/>
          <w:szCs w:val="28"/>
        </w:rPr>
      </w:pPr>
    </w:p>
    <w:p w14:paraId="754B4031" w14:textId="77777777" w:rsidR="001F0CB4" w:rsidRDefault="001F0CB4" w:rsidP="001F0CB4">
      <w:pPr>
        <w:jc w:val="center"/>
        <w:rPr>
          <w:rFonts w:ascii="Segoe UI" w:hAnsi="Segoe UI" w:cs="Segoe UI"/>
          <w:bCs/>
          <w:color w:val="000091" w:themeColor="text1"/>
          <w:szCs w:val="28"/>
        </w:rPr>
      </w:pPr>
    </w:p>
    <w:p w14:paraId="58AA501E" w14:textId="77777777" w:rsidR="001F0CB4" w:rsidRDefault="001F0CB4" w:rsidP="001F0CB4">
      <w:pPr>
        <w:jc w:val="center"/>
        <w:rPr>
          <w:rFonts w:ascii="Segoe UI" w:hAnsi="Segoe UI" w:cs="Segoe UI"/>
          <w:bCs/>
          <w:color w:val="000091" w:themeColor="text1"/>
          <w:szCs w:val="28"/>
        </w:rPr>
      </w:pPr>
    </w:p>
    <w:p w14:paraId="0E3ACD3E" w14:textId="77777777" w:rsidR="001F0CB4" w:rsidRDefault="001F0CB4" w:rsidP="001F0CB4">
      <w:pPr>
        <w:jc w:val="center"/>
        <w:rPr>
          <w:rFonts w:ascii="Segoe UI" w:hAnsi="Segoe UI" w:cs="Segoe UI"/>
          <w:bCs/>
          <w:color w:val="000091" w:themeColor="text1"/>
          <w:szCs w:val="28"/>
        </w:rPr>
      </w:pPr>
    </w:p>
    <w:p w14:paraId="3CC3BDDF" w14:textId="77777777" w:rsidR="001F0CB4" w:rsidRDefault="001F0CB4" w:rsidP="001F0CB4">
      <w:pPr>
        <w:jc w:val="center"/>
        <w:rPr>
          <w:rFonts w:ascii="Segoe UI" w:hAnsi="Segoe UI" w:cs="Segoe UI"/>
          <w:bCs/>
          <w:color w:val="000091" w:themeColor="text1"/>
          <w:szCs w:val="28"/>
        </w:rPr>
      </w:pPr>
    </w:p>
    <w:p w14:paraId="15E1EF19" w14:textId="77777777" w:rsidR="001F0CB4" w:rsidRDefault="001F0CB4" w:rsidP="001F0CB4">
      <w:pPr>
        <w:jc w:val="center"/>
        <w:rPr>
          <w:rFonts w:ascii="Segoe UI" w:hAnsi="Segoe UI" w:cs="Segoe UI"/>
          <w:bCs/>
          <w:color w:val="000091" w:themeColor="text1"/>
          <w:szCs w:val="28"/>
        </w:rPr>
      </w:pPr>
    </w:p>
    <w:p w14:paraId="6E46C3E2" w14:textId="77777777" w:rsidR="006F5ECD" w:rsidRDefault="006F5ECD" w:rsidP="00830648">
      <w:pPr>
        <w:jc w:val="center"/>
        <w:rPr>
          <w:rFonts w:ascii="Segoe UI" w:hAnsi="Segoe UI" w:cs="Segoe UI"/>
          <w:bCs/>
          <w:color w:val="000091" w:themeColor="text1"/>
          <w:szCs w:val="28"/>
        </w:rPr>
      </w:pPr>
    </w:p>
    <w:p w14:paraId="14D88B3A" w14:textId="076CA6C7" w:rsidR="00604208" w:rsidRDefault="001F0CB4" w:rsidP="00830648">
      <w:pPr>
        <w:jc w:val="center"/>
        <w:rPr>
          <w:rFonts w:ascii="Segoe UI" w:hAnsi="Segoe UI" w:cs="Segoe UI"/>
          <w:bCs/>
          <w:color w:val="000091" w:themeColor="text1"/>
          <w:szCs w:val="28"/>
        </w:rPr>
      </w:pPr>
      <w:r>
        <w:rPr>
          <w:rFonts w:ascii="Segoe UI" w:hAnsi="Segoe UI" w:cs="Segoe UI"/>
          <w:bCs/>
          <w:noProof/>
          <w:color w:val="000091" w:themeColor="text1"/>
          <w:szCs w:val="28"/>
        </w:rPr>
        <w:lastRenderedPageBreak/>
        <mc:AlternateContent>
          <mc:Choice Requires="wps">
            <w:drawing>
              <wp:anchor distT="0" distB="0" distL="114300" distR="114300" simplePos="0" relativeHeight="251673600" behindDoc="1" locked="0" layoutInCell="1" allowOverlap="1" wp14:anchorId="61083A61" wp14:editId="20EBB043">
                <wp:simplePos x="0" y="0"/>
                <wp:positionH relativeFrom="page">
                  <wp:align>left</wp:align>
                </wp:positionH>
                <wp:positionV relativeFrom="paragraph">
                  <wp:posOffset>-450215</wp:posOffset>
                </wp:positionV>
                <wp:extent cx="7620000" cy="17209135"/>
                <wp:effectExtent l="0" t="0" r="0" b="0"/>
                <wp:wrapNone/>
                <wp:docPr id="28" name="Rectangle 28"/>
                <wp:cNvGraphicFramePr/>
                <a:graphic xmlns:a="http://schemas.openxmlformats.org/drawingml/2006/main">
                  <a:graphicData uri="http://schemas.microsoft.com/office/word/2010/wordprocessingShape">
                    <wps:wsp>
                      <wps:cNvSpPr/>
                      <wps:spPr>
                        <a:xfrm>
                          <a:off x="0" y="0"/>
                          <a:ext cx="7620000" cy="1720913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49ED0" id="Rectangle 28" o:spid="_x0000_s1026" style="position:absolute;margin-left:0;margin-top:-35.45pt;width:600pt;height:1355.05pt;z-index:-251642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" fillcolor="#fef8e8" stroked="f" strokeweight="1pt">
                <w10:wrap anchorx="page"/>
              </v:rect>
            </w:pict>
          </mc:Fallback>
        </mc:AlternateContent>
      </w:r>
      <w:r w:rsidR="009854A7" w:rsidRPr="009854A7">
        <w:rPr>
          <w:rFonts w:ascii="Segoe UI" w:hAnsi="Segoe UI" w:cs="Segoe UI"/>
          <w:bCs/>
          <w:color w:val="000091" w:themeColor="text1"/>
          <w:szCs w:val="28"/>
        </w:rPr>
        <w:t xml:space="preserve">ANNEXE </w:t>
      </w:r>
      <w:r w:rsidR="003C060A">
        <w:rPr>
          <w:rFonts w:ascii="Segoe UI" w:hAnsi="Segoe UI" w:cs="Segoe UI"/>
          <w:bCs/>
          <w:color w:val="000091" w:themeColor="text1"/>
          <w:szCs w:val="28"/>
        </w:rPr>
        <w:t>3</w:t>
      </w:r>
      <w:r w:rsidR="009854A7" w:rsidRPr="009854A7">
        <w:rPr>
          <w:rFonts w:ascii="Segoe UI" w:hAnsi="Segoe UI" w:cs="Segoe UI"/>
          <w:bCs/>
          <w:color w:val="000091" w:themeColor="text1"/>
          <w:szCs w:val="28"/>
        </w:rPr>
        <w:t xml:space="preserve"> : </w:t>
      </w:r>
      <w:r w:rsidR="006B0053">
        <w:rPr>
          <w:rFonts w:ascii="Segoe UI" w:hAnsi="Segoe UI" w:cs="Segoe UI"/>
          <w:bCs/>
          <w:color w:val="000091" w:themeColor="text1"/>
          <w:szCs w:val="28"/>
        </w:rPr>
        <w:t>L</w:t>
      </w:r>
      <w:r w:rsidR="006B0B76">
        <w:rPr>
          <w:rFonts w:ascii="Segoe UI" w:hAnsi="Segoe UI" w:cs="Segoe UI"/>
          <w:bCs/>
          <w:color w:val="000091" w:themeColor="text1"/>
          <w:szCs w:val="28"/>
        </w:rPr>
        <w:t>es exportations</w:t>
      </w:r>
      <w:r w:rsidR="006B0053">
        <w:rPr>
          <w:rFonts w:ascii="Segoe UI" w:hAnsi="Segoe UI" w:cs="Segoe UI"/>
          <w:bCs/>
          <w:color w:val="000091" w:themeColor="text1"/>
          <w:szCs w:val="28"/>
        </w:rPr>
        <w:t xml:space="preserve"> de la Lettoni</w:t>
      </w:r>
      <w:r w:rsidR="006B0B76">
        <w:rPr>
          <w:rFonts w:ascii="Segoe UI" w:hAnsi="Segoe UI" w:cs="Segoe UI"/>
          <w:bCs/>
          <w:color w:val="000091" w:themeColor="text1"/>
          <w:szCs w:val="28"/>
        </w:rPr>
        <w:t>e</w:t>
      </w:r>
    </w:p>
    <w:p w14:paraId="55003858" w14:textId="77777777" w:rsidR="00734062" w:rsidRDefault="00734062" w:rsidP="00734062">
      <w:pPr>
        <w:jc w:val="center"/>
        <w:rPr>
          <w:rFonts w:ascii="Segoe UI" w:hAnsi="Segoe UI" w:cs="Segoe UI"/>
          <w:bCs/>
          <w:color w:val="000091" w:themeColor="text1"/>
          <w:szCs w:val="28"/>
        </w:rPr>
      </w:pPr>
    </w:p>
    <w:p w14:paraId="01FC1709" w14:textId="441DEAB2" w:rsidR="00734062" w:rsidRDefault="00B906C1" w:rsidP="00734062">
      <w:pPr>
        <w:jc w:val="center"/>
        <w:rPr>
          <w:rFonts w:ascii="Segoe UI" w:hAnsi="Segoe UI" w:cs="Segoe UI"/>
          <w:bCs/>
          <w:color w:val="000091" w:themeColor="text1"/>
          <w:szCs w:val="28"/>
        </w:rPr>
      </w:pPr>
      <w:r>
        <w:rPr>
          <w:noProof/>
        </w:rPr>
        <w:drawing>
          <wp:inline distT="0" distB="0" distL="0" distR="0" wp14:anchorId="6CF487C7" wp14:editId="72088C97">
            <wp:extent cx="5851525" cy="3916907"/>
            <wp:effectExtent l="0" t="0" r="15875" b="7620"/>
            <wp:docPr id="5" name="Graphique 5">
              <a:extLst xmlns:a="http://schemas.openxmlformats.org/drawingml/2006/main">
                <a:ext uri="{FF2B5EF4-FFF2-40B4-BE49-F238E27FC236}">
                  <a16:creationId xmlns:a16="http://schemas.microsoft.com/office/drawing/2014/main" id="{41704465-3461-490C-AB86-E90E0DCEE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0748DA" w14:textId="528B1B88" w:rsidR="003803FD" w:rsidRDefault="003803FD" w:rsidP="00830648">
      <w:pPr>
        <w:rPr>
          <w:rFonts w:ascii="Segoe UI" w:hAnsi="Segoe UI" w:cs="Segoe UI"/>
          <w:bCs/>
          <w:color w:val="000091" w:themeColor="text1"/>
          <w:szCs w:val="28"/>
        </w:rPr>
      </w:pPr>
    </w:p>
    <w:p w14:paraId="6071C39D" w14:textId="33A3BC26" w:rsidR="007460E4" w:rsidRDefault="007460E4" w:rsidP="003C060A">
      <w:pPr>
        <w:jc w:val="center"/>
        <w:rPr>
          <w:rFonts w:ascii="Segoe UI" w:hAnsi="Segoe UI" w:cs="Segoe UI"/>
          <w:bCs/>
          <w:color w:val="000091" w:themeColor="text1"/>
          <w:szCs w:val="28"/>
        </w:rPr>
      </w:pPr>
    </w:p>
    <w:p w14:paraId="531D4E99" w14:textId="216F3629" w:rsidR="000A6F78" w:rsidRDefault="006B0B76" w:rsidP="006B0B76">
      <w:pPr>
        <w:jc w:val="center"/>
        <w:rPr>
          <w:rFonts w:ascii="Segoe UI" w:hAnsi="Segoe UI" w:cs="Segoe UI"/>
          <w:bCs/>
          <w:color w:val="000091" w:themeColor="text1"/>
          <w:szCs w:val="28"/>
        </w:rPr>
      </w:pPr>
      <w:r>
        <w:rPr>
          <w:noProof/>
        </w:rPr>
        <w:drawing>
          <wp:inline distT="0" distB="0" distL="0" distR="0" wp14:anchorId="2E648D7C" wp14:editId="6BFE9C75">
            <wp:extent cx="5851525" cy="3274828"/>
            <wp:effectExtent l="0" t="0" r="15875" b="1905"/>
            <wp:docPr id="13" name="Graphique 13">
              <a:extLst xmlns:a="http://schemas.openxmlformats.org/drawingml/2006/main">
                <a:ext uri="{FF2B5EF4-FFF2-40B4-BE49-F238E27FC236}">
                  <a16:creationId xmlns:a16="http://schemas.microsoft.com/office/drawing/2014/main" id="{37B55FA8-3522-4635-A3BA-6A1838B10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183235" w14:textId="77777777" w:rsidR="00823215" w:rsidRDefault="00823215" w:rsidP="003C060A">
      <w:pPr>
        <w:jc w:val="center"/>
        <w:rPr>
          <w:rFonts w:ascii="Segoe UI" w:hAnsi="Segoe UI" w:cs="Segoe UI"/>
          <w:bCs/>
          <w:color w:val="000091" w:themeColor="text1"/>
          <w:szCs w:val="28"/>
        </w:rPr>
      </w:pPr>
    </w:p>
    <w:p w14:paraId="6FA9145E" w14:textId="77777777" w:rsidR="00823215" w:rsidRDefault="00823215" w:rsidP="003C060A">
      <w:pPr>
        <w:jc w:val="center"/>
        <w:rPr>
          <w:rFonts w:ascii="Segoe UI" w:hAnsi="Segoe UI" w:cs="Segoe UI"/>
          <w:bCs/>
          <w:color w:val="000091" w:themeColor="text1"/>
          <w:szCs w:val="28"/>
        </w:rPr>
      </w:pPr>
    </w:p>
    <w:p w14:paraId="63F6A02A" w14:textId="657E65F9" w:rsidR="00823215" w:rsidRDefault="00823215" w:rsidP="003C060A">
      <w:pPr>
        <w:jc w:val="center"/>
        <w:rPr>
          <w:rFonts w:ascii="Segoe UI" w:hAnsi="Segoe UI" w:cs="Segoe UI"/>
          <w:bCs/>
          <w:color w:val="000091" w:themeColor="text1"/>
          <w:szCs w:val="28"/>
        </w:rPr>
      </w:pPr>
    </w:p>
    <w:p w14:paraId="3999FE01" w14:textId="60BC1D22" w:rsidR="00823215" w:rsidRDefault="00DA6ADA" w:rsidP="003C060A">
      <w:pPr>
        <w:jc w:val="center"/>
        <w:rPr>
          <w:rFonts w:ascii="Segoe UI" w:hAnsi="Segoe UI" w:cs="Segoe UI"/>
          <w:bCs/>
          <w:color w:val="000091" w:themeColor="text1"/>
          <w:szCs w:val="28"/>
        </w:rPr>
      </w:pPr>
      <w:r>
        <w:rPr>
          <w:rFonts w:ascii="Segoe UI" w:hAnsi="Segoe UI" w:cs="Segoe UI"/>
          <w:bCs/>
          <w:noProof/>
          <w:color w:val="000091" w:themeColor="text1"/>
          <w:szCs w:val="28"/>
        </w:rPr>
        <mc:AlternateContent>
          <mc:Choice Requires="wps">
            <w:drawing>
              <wp:anchor distT="0" distB="0" distL="114300" distR="114300" simplePos="0" relativeHeight="251667456" behindDoc="1" locked="0" layoutInCell="1" allowOverlap="1" wp14:anchorId="4652A523" wp14:editId="15725242">
                <wp:simplePos x="0" y="0"/>
                <wp:positionH relativeFrom="page">
                  <wp:posOffset>-356261</wp:posOffset>
                </wp:positionH>
                <wp:positionV relativeFrom="paragraph">
                  <wp:posOffset>-604594</wp:posOffset>
                </wp:positionV>
                <wp:extent cx="7950085" cy="16826081"/>
                <wp:effectExtent l="0" t="0" r="0" b="0"/>
                <wp:wrapNone/>
                <wp:docPr id="15" name="Rectangle 15"/>
                <wp:cNvGraphicFramePr/>
                <a:graphic xmlns:a="http://schemas.openxmlformats.org/drawingml/2006/main">
                  <a:graphicData uri="http://schemas.microsoft.com/office/word/2010/wordprocessingShape">
                    <wps:wsp>
                      <wps:cNvSpPr/>
                      <wps:spPr>
                        <a:xfrm>
                          <a:off x="0" y="0"/>
                          <a:ext cx="7950085" cy="16826081"/>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516DC" id="Rectangle 15" o:spid="_x0000_s1026" style="position:absolute;margin-left:-28.05pt;margin-top:-47.6pt;width:626pt;height:132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" fillcolor="#fef8e8" stroked="f" strokeweight="1pt">
                <w10:wrap anchorx="page"/>
              </v:rect>
            </w:pict>
          </mc:Fallback>
        </mc:AlternateContent>
      </w:r>
    </w:p>
    <w:p w14:paraId="7DB62E5E" w14:textId="511DD2F2" w:rsidR="001F0CB4" w:rsidRDefault="001F0CB4" w:rsidP="003C060A">
      <w:pPr>
        <w:jc w:val="center"/>
        <w:rPr>
          <w:rFonts w:ascii="Segoe UI" w:hAnsi="Segoe UI" w:cs="Segoe UI"/>
          <w:bCs/>
          <w:color w:val="000091" w:themeColor="text1"/>
          <w:szCs w:val="28"/>
        </w:rPr>
      </w:pPr>
    </w:p>
    <w:p w14:paraId="00325F11" w14:textId="2775B7CA" w:rsidR="001F0CB4" w:rsidRDefault="001F0CB4" w:rsidP="003C060A">
      <w:pPr>
        <w:jc w:val="center"/>
        <w:rPr>
          <w:rFonts w:ascii="Segoe UI" w:hAnsi="Segoe UI" w:cs="Segoe UI"/>
          <w:bCs/>
          <w:color w:val="000091" w:themeColor="text1"/>
          <w:szCs w:val="28"/>
        </w:rPr>
      </w:pPr>
    </w:p>
    <w:p w14:paraId="6A188517" w14:textId="49B6C13C" w:rsidR="001F0CB4" w:rsidRDefault="001F0CB4" w:rsidP="003C060A">
      <w:pPr>
        <w:jc w:val="center"/>
        <w:rPr>
          <w:rFonts w:ascii="Segoe UI" w:hAnsi="Segoe UI" w:cs="Segoe UI"/>
          <w:bCs/>
          <w:color w:val="000091" w:themeColor="text1"/>
          <w:szCs w:val="28"/>
        </w:rPr>
      </w:pPr>
    </w:p>
    <w:p w14:paraId="031FFAA2" w14:textId="77777777" w:rsidR="001F0CB4" w:rsidRDefault="001F0CB4" w:rsidP="003C060A">
      <w:pPr>
        <w:jc w:val="center"/>
        <w:rPr>
          <w:rFonts w:ascii="Segoe UI" w:hAnsi="Segoe UI" w:cs="Segoe UI"/>
          <w:bCs/>
          <w:color w:val="000091" w:themeColor="text1"/>
          <w:szCs w:val="28"/>
        </w:rPr>
      </w:pPr>
    </w:p>
    <w:p w14:paraId="2C3637D2" w14:textId="5DE9E421" w:rsidR="0068657D" w:rsidRDefault="001F0CB4">
      <w:pPr>
        <w:jc w:val="center"/>
        <w:rPr>
          <w:rFonts w:ascii="Segoe UI" w:hAnsi="Segoe UI" w:cs="Segoe UI"/>
          <w:bCs/>
          <w:color w:val="000091" w:themeColor="text1"/>
          <w:szCs w:val="28"/>
        </w:rPr>
      </w:pPr>
      <w:r>
        <w:rPr>
          <w:rFonts w:ascii="Segoe UI" w:hAnsi="Segoe UI" w:cs="Segoe UI"/>
          <w:bCs/>
          <w:noProof/>
          <w:color w:val="000091" w:themeColor="text1"/>
          <w:szCs w:val="28"/>
        </w:rPr>
        <w:lastRenderedPageBreak/>
        <mc:AlternateContent>
          <mc:Choice Requires="wps">
            <w:drawing>
              <wp:anchor distT="0" distB="0" distL="114300" distR="114300" simplePos="0" relativeHeight="251676672" behindDoc="1" locked="0" layoutInCell="1" allowOverlap="1" wp14:anchorId="0960530A" wp14:editId="5DEB61AF">
                <wp:simplePos x="0" y="0"/>
                <wp:positionH relativeFrom="margin">
                  <wp:posOffset>-1118870</wp:posOffset>
                </wp:positionH>
                <wp:positionV relativeFrom="paragraph">
                  <wp:posOffset>-445135</wp:posOffset>
                </wp:positionV>
                <wp:extent cx="7783983" cy="15932818"/>
                <wp:effectExtent l="0" t="0" r="7620" b="0"/>
                <wp:wrapNone/>
                <wp:docPr id="29" name="Rectangle 29"/>
                <wp:cNvGraphicFramePr/>
                <a:graphic xmlns:a="http://schemas.openxmlformats.org/drawingml/2006/main">
                  <a:graphicData uri="http://schemas.microsoft.com/office/word/2010/wordprocessingShape">
                    <wps:wsp>
                      <wps:cNvSpPr/>
                      <wps:spPr>
                        <a:xfrm>
                          <a:off x="0" y="0"/>
                          <a:ext cx="7783983" cy="15932818"/>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2DA1A" id="Rectangle 29" o:spid="_x0000_s1026" style="position:absolute;margin-left:-88.1pt;margin-top:-35.05pt;width:612.9pt;height:1254.5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" fillcolor="#fef8e8" stroked="f" strokeweight="1pt">
                <w10:wrap anchorx="margin"/>
              </v:rect>
            </w:pict>
          </mc:Fallback>
        </mc:AlternateContent>
      </w:r>
      <w:r w:rsidR="006B0B76">
        <w:rPr>
          <w:rFonts w:ascii="Segoe UI" w:hAnsi="Segoe UI" w:cs="Segoe UI"/>
          <w:bCs/>
          <w:color w:val="000091" w:themeColor="text1"/>
          <w:szCs w:val="28"/>
        </w:rPr>
        <w:t xml:space="preserve">ANNEXE </w:t>
      </w:r>
      <w:r w:rsidR="003C060A">
        <w:rPr>
          <w:rFonts w:ascii="Segoe UI" w:hAnsi="Segoe UI" w:cs="Segoe UI"/>
          <w:bCs/>
          <w:color w:val="000091" w:themeColor="text1"/>
          <w:szCs w:val="28"/>
        </w:rPr>
        <w:t>4</w:t>
      </w:r>
      <w:r w:rsidR="006B0B76">
        <w:rPr>
          <w:rFonts w:ascii="Segoe UI" w:hAnsi="Segoe UI" w:cs="Segoe UI"/>
          <w:bCs/>
          <w:color w:val="000091" w:themeColor="text1"/>
          <w:szCs w:val="28"/>
        </w:rPr>
        <w:t> : Les importations de la Lettonie</w:t>
      </w:r>
    </w:p>
    <w:p w14:paraId="5A46912A" w14:textId="23053BA2" w:rsidR="00823215" w:rsidRDefault="00823215" w:rsidP="00830648">
      <w:pPr>
        <w:rPr>
          <w:rFonts w:ascii="Segoe UI" w:hAnsi="Segoe UI" w:cs="Segoe UI"/>
          <w:bCs/>
          <w:color w:val="000091" w:themeColor="text1"/>
          <w:szCs w:val="28"/>
        </w:rPr>
      </w:pPr>
    </w:p>
    <w:p w14:paraId="0FBC22B2" w14:textId="493EF140" w:rsidR="00604208" w:rsidRDefault="00B906C1" w:rsidP="00830648">
      <w:pPr>
        <w:rPr>
          <w:rFonts w:ascii="Segoe UI" w:hAnsi="Segoe UI" w:cs="Segoe UI"/>
          <w:bCs/>
          <w:color w:val="000091" w:themeColor="text1"/>
          <w:szCs w:val="28"/>
        </w:rPr>
      </w:pPr>
      <w:r>
        <w:rPr>
          <w:noProof/>
        </w:rPr>
        <w:drawing>
          <wp:inline distT="0" distB="0" distL="0" distR="0" wp14:anchorId="4BA4BAF6" wp14:editId="44CCE5B8">
            <wp:extent cx="5851525" cy="3732028"/>
            <wp:effectExtent l="0" t="0" r="15875" b="1905"/>
            <wp:docPr id="6" name="Graphique 6">
              <a:extLst xmlns:a="http://schemas.openxmlformats.org/drawingml/2006/main">
                <a:ext uri="{FF2B5EF4-FFF2-40B4-BE49-F238E27FC236}">
                  <a16:creationId xmlns:a16="http://schemas.microsoft.com/office/drawing/2014/main" id="{A3154C85-FAE0-4DD3-9DF5-F937DC9EF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468C52" w14:textId="77777777" w:rsidR="0068657D" w:rsidRPr="006B0B76" w:rsidRDefault="0068657D" w:rsidP="003C060A">
      <w:pPr>
        <w:jc w:val="center"/>
        <w:rPr>
          <w:rFonts w:ascii="Segoe UI" w:hAnsi="Segoe UI" w:cs="Segoe UI"/>
          <w:bCs/>
          <w:color w:val="000091" w:themeColor="text1"/>
          <w:szCs w:val="28"/>
        </w:rPr>
      </w:pPr>
    </w:p>
    <w:p w14:paraId="307EB918" w14:textId="104250D0" w:rsidR="004E44C9" w:rsidRDefault="003803FD" w:rsidP="006B0B76">
      <w:pPr>
        <w:jc w:val="center"/>
        <w:rPr>
          <w:rFonts w:ascii="Segoe UI" w:hAnsi="Segoe UI" w:cs="Segoe UI"/>
          <w:bCs/>
          <w:color w:val="000091" w:themeColor="text1"/>
          <w:szCs w:val="28"/>
        </w:rPr>
      </w:pPr>
      <w:r>
        <w:rPr>
          <w:noProof/>
        </w:rPr>
        <w:drawing>
          <wp:inline distT="0" distB="0" distL="0" distR="0" wp14:anchorId="434B8408" wp14:editId="5DB09DAA">
            <wp:extent cx="5851525" cy="3221355"/>
            <wp:effectExtent l="0" t="0" r="15875" b="17145"/>
            <wp:docPr id="22" name="Graphique 22">
              <a:extLst xmlns:a="http://schemas.openxmlformats.org/drawingml/2006/main">
                <a:ext uri="{FF2B5EF4-FFF2-40B4-BE49-F238E27FC236}">
                  <a16:creationId xmlns:a16="http://schemas.microsoft.com/office/drawing/2014/main" id="{066BE92C-2053-4BFE-A388-3EE2A9CD8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8F10F6" w14:textId="77777777" w:rsidR="004E44C9" w:rsidRPr="00830648" w:rsidRDefault="004E44C9" w:rsidP="006B0B76">
      <w:pPr>
        <w:jc w:val="center"/>
        <w:rPr>
          <w:rFonts w:ascii="Segoe UI" w:hAnsi="Segoe UI" w:cs="Segoe UI"/>
          <w:bCs/>
          <w:color w:val="000091" w:themeColor="text1"/>
          <w:szCs w:val="28"/>
        </w:rPr>
      </w:pPr>
    </w:p>
    <w:p w14:paraId="1FE4B26B" w14:textId="3E2180C4" w:rsidR="00DA6ADA" w:rsidRPr="00830648" w:rsidRDefault="00DA6ADA" w:rsidP="00DA6ADA">
      <w:pPr>
        <w:jc w:val="center"/>
        <w:rPr>
          <w:rFonts w:ascii="Segoe UI" w:hAnsi="Segoe UI" w:cs="Segoe UI"/>
          <w:bCs/>
          <w:color w:val="000091" w:themeColor="text1"/>
          <w:szCs w:val="28"/>
        </w:rPr>
      </w:pPr>
      <w:r w:rsidRPr="00830648">
        <w:rPr>
          <w:rFonts w:ascii="Segoe UI" w:hAnsi="Segoe UI" w:cs="Segoe UI"/>
          <w:bCs/>
          <w:color w:val="000091" w:themeColor="text1"/>
          <w:szCs w:val="28"/>
        </w:rPr>
        <w:t>ANNEXE 5</w:t>
      </w:r>
      <w:r w:rsidR="004E44C9">
        <w:rPr>
          <w:rFonts w:ascii="Segoe UI" w:hAnsi="Segoe UI" w:cs="Segoe UI"/>
          <w:bCs/>
          <w:color w:val="000091" w:themeColor="text1"/>
          <w:szCs w:val="28"/>
        </w:rPr>
        <w:t xml:space="preserve"> : </w:t>
      </w:r>
      <w:r w:rsidR="004E44C9" w:rsidRPr="00830648">
        <w:rPr>
          <w:rFonts w:ascii="Segoe UI" w:hAnsi="Segoe UI" w:cs="Segoe UI"/>
          <w:bCs/>
          <w:color w:val="000091" w:themeColor="text1"/>
          <w:szCs w:val="28"/>
        </w:rPr>
        <w:t>Catégories &amp; définitions</w:t>
      </w:r>
      <w:r w:rsidRPr="00830648">
        <w:rPr>
          <w:rFonts w:ascii="Segoe UI" w:hAnsi="Segoe UI" w:cs="Segoe UI"/>
          <w:bCs/>
          <w:color w:val="000091" w:themeColor="text1"/>
          <w:szCs w:val="28"/>
        </w:rPr>
        <w:t xml:space="preserve"> </w:t>
      </w:r>
    </w:p>
    <w:p w14:paraId="6CECD56B" w14:textId="54C457CA" w:rsidR="00DA6ADA" w:rsidRPr="00830648" w:rsidRDefault="00DA6ADA" w:rsidP="00DA6ADA">
      <w:pPr>
        <w:jc w:val="center"/>
        <w:rPr>
          <w:rFonts w:ascii="Segoe UI" w:hAnsi="Segoe UI" w:cs="Segoe UI"/>
          <w:bCs/>
          <w:color w:val="000091" w:themeColor="text1"/>
          <w:szCs w:val="28"/>
        </w:rPr>
      </w:pPr>
    </w:p>
    <w:p w14:paraId="373128A1" w14:textId="4C3C33E6" w:rsidR="00DA6ADA" w:rsidRDefault="00DA6ADA" w:rsidP="00DA6ADA">
      <w:pPr>
        <w:jc w:val="both"/>
        <w:rPr>
          <w:rFonts w:ascii="Segoe UI" w:eastAsia="SimSun" w:hAnsi="Segoe UI" w:cs="Segoe UI"/>
          <w:sz w:val="20"/>
          <w:szCs w:val="20"/>
        </w:rPr>
      </w:pPr>
      <w:r>
        <w:rPr>
          <w:rFonts w:ascii="Segoe UI" w:eastAsia="SimSun" w:hAnsi="Segoe UI" w:cs="Segoe UI"/>
          <w:sz w:val="20"/>
          <w:szCs w:val="20"/>
          <w:u w:val="single"/>
        </w:rPr>
        <w:t>Produits minéraux</w:t>
      </w:r>
      <w:r w:rsidR="004E44C9">
        <w:rPr>
          <w:rFonts w:ascii="Segoe UI" w:eastAsia="SimSun" w:hAnsi="Segoe UI" w:cs="Segoe UI"/>
          <w:sz w:val="20"/>
          <w:szCs w:val="20"/>
          <w:u w:val="single"/>
        </w:rPr>
        <w:t> :</w:t>
      </w:r>
      <w:r>
        <w:rPr>
          <w:rFonts w:ascii="Segoe UI" w:eastAsia="SimSun" w:hAnsi="Segoe UI" w:cs="Segoe UI"/>
          <w:sz w:val="20"/>
          <w:szCs w:val="20"/>
        </w:rPr>
        <w:t xml:space="preserve"> Combustibles minéraux, huiles minérales et produits de leur distillation, substances bitumineuses, cires minérales</w:t>
      </w:r>
      <w:r w:rsidR="004E44C9">
        <w:rPr>
          <w:rFonts w:ascii="Segoe UI" w:eastAsia="SimSun" w:hAnsi="Segoe UI" w:cs="Segoe UI"/>
          <w:sz w:val="20"/>
          <w:szCs w:val="20"/>
        </w:rPr>
        <w:t> ; Sel, soufre, terres et pierres, matériaux de plâtrage, chaux et ciment ; Minerais, scories et cendres</w:t>
      </w:r>
    </w:p>
    <w:p w14:paraId="0B68CC35" w14:textId="77777777" w:rsidR="00DA6ADA" w:rsidRPr="005C202F" w:rsidRDefault="00DA6ADA" w:rsidP="00DA6ADA">
      <w:pPr>
        <w:jc w:val="center"/>
        <w:rPr>
          <w:rFonts w:ascii="Segoe UI" w:hAnsi="Segoe UI" w:cs="Segoe UI"/>
          <w:iCs/>
          <w:color w:val="000091"/>
          <w:sz w:val="20"/>
          <w:szCs w:val="20"/>
        </w:rPr>
      </w:pPr>
    </w:p>
    <w:p w14:paraId="669D0C2A" w14:textId="31E8848B" w:rsidR="00DA6ADA" w:rsidRPr="005C202F" w:rsidRDefault="00DA6ADA" w:rsidP="006B0B76">
      <w:pPr>
        <w:jc w:val="center"/>
        <w:rPr>
          <w:rFonts w:ascii="Segoe UI" w:hAnsi="Segoe UI" w:cs="Segoe UI"/>
          <w:iCs/>
          <w:color w:val="000091"/>
          <w:sz w:val="20"/>
          <w:szCs w:val="20"/>
        </w:rPr>
      </w:pPr>
    </w:p>
    <w:p w14:paraId="4031A7CE" w14:textId="77777777" w:rsidR="00DA6ADA" w:rsidRPr="005C202F" w:rsidRDefault="00DA6ADA" w:rsidP="006B0B76">
      <w:pPr>
        <w:jc w:val="center"/>
        <w:rPr>
          <w:rFonts w:ascii="Segoe UI" w:hAnsi="Segoe UI" w:cs="Segoe UI"/>
          <w:bCs/>
          <w:color w:val="FF0000"/>
          <w:sz w:val="20"/>
        </w:rPr>
      </w:pPr>
    </w:p>
    <w:p w14:paraId="6D689790" w14:textId="15E02229" w:rsidR="00341EC1" w:rsidRPr="00B97696" w:rsidRDefault="00AA020A">
      <w:pPr>
        <w:jc w:val="center"/>
        <w:rPr>
          <w:rFonts w:ascii="Arial" w:hAnsi="Arial" w:cs="Arial"/>
          <w:bCs/>
          <w:color w:val="000091" w:themeColor="text1"/>
          <w:szCs w:val="28"/>
          <w:lang w:val="en-GB"/>
        </w:rPr>
      </w:pPr>
      <w:r>
        <w:rPr>
          <w:rFonts w:ascii="Segoe UI" w:hAnsi="Segoe UI" w:cs="Segoe UI"/>
          <w:bCs/>
          <w:noProof/>
          <w:color w:val="000091" w:themeColor="text1"/>
          <w:szCs w:val="28"/>
        </w:rPr>
        <mc:AlternateContent>
          <mc:Choice Requires="wps">
            <w:drawing>
              <wp:anchor distT="0" distB="0" distL="114300" distR="114300" simplePos="0" relativeHeight="251665408" behindDoc="1" locked="0" layoutInCell="1" allowOverlap="1" wp14:anchorId="54087547" wp14:editId="07DD8214">
                <wp:simplePos x="0" y="0"/>
                <wp:positionH relativeFrom="page">
                  <wp:posOffset>-114300</wp:posOffset>
                </wp:positionH>
                <wp:positionV relativeFrom="paragraph">
                  <wp:posOffset>-459740</wp:posOffset>
                </wp:positionV>
                <wp:extent cx="7677150" cy="10687050"/>
                <wp:effectExtent l="0" t="0" r="0" b="0"/>
                <wp:wrapNone/>
                <wp:docPr id="12" name="Rectangle 12"/>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51D0D" id="Rectangle 12" o:spid="_x0000_s1026" style="position:absolute;margin-left:-9pt;margin-top:-36.2pt;width:604.5pt;height:84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" fillcolor="#fef8e8" stroked="f" strokeweight="1pt">
                <w10:wrap anchorx="page"/>
              </v:rect>
            </w:pict>
          </mc:Fallback>
        </mc:AlternateContent>
      </w:r>
    </w:p>
    <w:sectPr w:rsidR="00341EC1" w:rsidRPr="00B97696"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3287" w14:textId="77777777" w:rsidR="00363EFA" w:rsidRDefault="00363EFA" w:rsidP="001C2361">
      <w:r>
        <w:separator/>
      </w:r>
    </w:p>
  </w:endnote>
  <w:endnote w:type="continuationSeparator" w:id="0">
    <w:p w14:paraId="3FFFD21D" w14:textId="77777777" w:rsidR="00363EFA" w:rsidRDefault="00363EFA" w:rsidP="001C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C231" w14:textId="77777777" w:rsidR="00363EFA" w:rsidRDefault="00363EFA" w:rsidP="001C2361">
      <w:r>
        <w:separator/>
      </w:r>
    </w:p>
  </w:footnote>
  <w:footnote w:type="continuationSeparator" w:id="0">
    <w:p w14:paraId="61335AC0" w14:textId="77777777" w:rsidR="00363EFA" w:rsidRDefault="00363EFA" w:rsidP="001C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4"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2"/>
  </w:num>
  <w:num w:numId="7">
    <w:abstractNumId w:val="4"/>
  </w:num>
  <w:num w:numId="8">
    <w:abstractNumId w:val="3"/>
  </w:num>
  <w:num w:numId="9">
    <w:abstractNumId w:val="1"/>
  </w:num>
  <w:num w:numId="10">
    <w:abstractNumId w:val="8"/>
  </w:num>
  <w:num w:numId="11">
    <w:abstractNumId w:val="5"/>
  </w:num>
  <w:num w:numId="12">
    <w:abstractNumId w:val="0"/>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4EA8"/>
    <w:rsid w:val="000064C1"/>
    <w:rsid w:val="00006D9E"/>
    <w:rsid w:val="00006E50"/>
    <w:rsid w:val="00020EE2"/>
    <w:rsid w:val="00022880"/>
    <w:rsid w:val="00022F44"/>
    <w:rsid w:val="00023393"/>
    <w:rsid w:val="00031533"/>
    <w:rsid w:val="00045CF8"/>
    <w:rsid w:val="00050225"/>
    <w:rsid w:val="000534EC"/>
    <w:rsid w:val="0006004A"/>
    <w:rsid w:val="00064115"/>
    <w:rsid w:val="000676F2"/>
    <w:rsid w:val="00071F97"/>
    <w:rsid w:val="000763B3"/>
    <w:rsid w:val="00080037"/>
    <w:rsid w:val="00097777"/>
    <w:rsid w:val="000A1918"/>
    <w:rsid w:val="000A3BB5"/>
    <w:rsid w:val="000A6F78"/>
    <w:rsid w:val="000E0454"/>
    <w:rsid w:val="000E1E2F"/>
    <w:rsid w:val="000E6FDB"/>
    <w:rsid w:val="000E7793"/>
    <w:rsid w:val="000F2C4E"/>
    <w:rsid w:val="00100569"/>
    <w:rsid w:val="00100C95"/>
    <w:rsid w:val="001105E1"/>
    <w:rsid w:val="001109EF"/>
    <w:rsid w:val="00111C32"/>
    <w:rsid w:val="0012430D"/>
    <w:rsid w:val="001330F7"/>
    <w:rsid w:val="00134DE8"/>
    <w:rsid w:val="001352C7"/>
    <w:rsid w:val="001360A8"/>
    <w:rsid w:val="00147754"/>
    <w:rsid w:val="001505C0"/>
    <w:rsid w:val="00152C27"/>
    <w:rsid w:val="001625DE"/>
    <w:rsid w:val="00175E92"/>
    <w:rsid w:val="00182843"/>
    <w:rsid w:val="00184135"/>
    <w:rsid w:val="0019173B"/>
    <w:rsid w:val="0019280B"/>
    <w:rsid w:val="001A1A43"/>
    <w:rsid w:val="001A1CD5"/>
    <w:rsid w:val="001A481A"/>
    <w:rsid w:val="001A5A37"/>
    <w:rsid w:val="001B1CF0"/>
    <w:rsid w:val="001B4BB2"/>
    <w:rsid w:val="001C100F"/>
    <w:rsid w:val="001C2361"/>
    <w:rsid w:val="001D4575"/>
    <w:rsid w:val="001E4D67"/>
    <w:rsid w:val="001F0CB4"/>
    <w:rsid w:val="001F235A"/>
    <w:rsid w:val="001F2D7C"/>
    <w:rsid w:val="00216575"/>
    <w:rsid w:val="00223554"/>
    <w:rsid w:val="00225798"/>
    <w:rsid w:val="00246C65"/>
    <w:rsid w:val="00250F27"/>
    <w:rsid w:val="002550BB"/>
    <w:rsid w:val="00255F30"/>
    <w:rsid w:val="00257E48"/>
    <w:rsid w:val="002762C9"/>
    <w:rsid w:val="00281BCD"/>
    <w:rsid w:val="0028363F"/>
    <w:rsid w:val="002837FD"/>
    <w:rsid w:val="0028545C"/>
    <w:rsid w:val="00290626"/>
    <w:rsid w:val="00294ADD"/>
    <w:rsid w:val="002D13A2"/>
    <w:rsid w:val="002D4C04"/>
    <w:rsid w:val="002D6000"/>
    <w:rsid w:val="002E6890"/>
    <w:rsid w:val="002E7383"/>
    <w:rsid w:val="002F008E"/>
    <w:rsid w:val="002F0A4B"/>
    <w:rsid w:val="002F1054"/>
    <w:rsid w:val="002F210F"/>
    <w:rsid w:val="0030017B"/>
    <w:rsid w:val="00301021"/>
    <w:rsid w:val="0030148A"/>
    <w:rsid w:val="00317870"/>
    <w:rsid w:val="00323A4A"/>
    <w:rsid w:val="003257BD"/>
    <w:rsid w:val="0032597A"/>
    <w:rsid w:val="0033036F"/>
    <w:rsid w:val="00330428"/>
    <w:rsid w:val="00332310"/>
    <w:rsid w:val="003339CE"/>
    <w:rsid w:val="003407BF"/>
    <w:rsid w:val="00341E94"/>
    <w:rsid w:val="00341EC1"/>
    <w:rsid w:val="00344131"/>
    <w:rsid w:val="00347F9E"/>
    <w:rsid w:val="00350038"/>
    <w:rsid w:val="00351E1C"/>
    <w:rsid w:val="00363EFA"/>
    <w:rsid w:val="00367A91"/>
    <w:rsid w:val="00370A45"/>
    <w:rsid w:val="00377143"/>
    <w:rsid w:val="00377431"/>
    <w:rsid w:val="003803FD"/>
    <w:rsid w:val="003847EC"/>
    <w:rsid w:val="003A1D94"/>
    <w:rsid w:val="003A7EB8"/>
    <w:rsid w:val="003B1A22"/>
    <w:rsid w:val="003B33D3"/>
    <w:rsid w:val="003B3B54"/>
    <w:rsid w:val="003C060A"/>
    <w:rsid w:val="003D21FE"/>
    <w:rsid w:val="003D2AD3"/>
    <w:rsid w:val="003D5550"/>
    <w:rsid w:val="003D6537"/>
    <w:rsid w:val="003D6B68"/>
    <w:rsid w:val="003D7244"/>
    <w:rsid w:val="0040105A"/>
    <w:rsid w:val="0040330E"/>
    <w:rsid w:val="00406D60"/>
    <w:rsid w:val="00415F39"/>
    <w:rsid w:val="00421F98"/>
    <w:rsid w:val="0043111F"/>
    <w:rsid w:val="004311AF"/>
    <w:rsid w:val="004372C1"/>
    <w:rsid w:val="00450D73"/>
    <w:rsid w:val="00452C51"/>
    <w:rsid w:val="00457B18"/>
    <w:rsid w:val="00463378"/>
    <w:rsid w:val="00464468"/>
    <w:rsid w:val="00466B78"/>
    <w:rsid w:val="004716CD"/>
    <w:rsid w:val="00471702"/>
    <w:rsid w:val="00472C6F"/>
    <w:rsid w:val="00481781"/>
    <w:rsid w:val="00486DEA"/>
    <w:rsid w:val="00487DC4"/>
    <w:rsid w:val="004908E5"/>
    <w:rsid w:val="00490B3C"/>
    <w:rsid w:val="00496D10"/>
    <w:rsid w:val="004A28DB"/>
    <w:rsid w:val="004C3273"/>
    <w:rsid w:val="004D1C5C"/>
    <w:rsid w:val="004D444C"/>
    <w:rsid w:val="004D7C76"/>
    <w:rsid w:val="004E2023"/>
    <w:rsid w:val="004E44C9"/>
    <w:rsid w:val="004E6C1A"/>
    <w:rsid w:val="004E6DB3"/>
    <w:rsid w:val="004E7972"/>
    <w:rsid w:val="004F211B"/>
    <w:rsid w:val="004F386A"/>
    <w:rsid w:val="00500C5B"/>
    <w:rsid w:val="005077FB"/>
    <w:rsid w:val="005318F8"/>
    <w:rsid w:val="00532CDF"/>
    <w:rsid w:val="00532CE3"/>
    <w:rsid w:val="00533C10"/>
    <w:rsid w:val="00541AB4"/>
    <w:rsid w:val="00542231"/>
    <w:rsid w:val="00543CA9"/>
    <w:rsid w:val="00545FE6"/>
    <w:rsid w:val="005540B4"/>
    <w:rsid w:val="00557E89"/>
    <w:rsid w:val="00561CC4"/>
    <w:rsid w:val="00570D3F"/>
    <w:rsid w:val="00575F99"/>
    <w:rsid w:val="005806A2"/>
    <w:rsid w:val="00581921"/>
    <w:rsid w:val="00581BC3"/>
    <w:rsid w:val="00584799"/>
    <w:rsid w:val="00585504"/>
    <w:rsid w:val="005867B0"/>
    <w:rsid w:val="00590894"/>
    <w:rsid w:val="00591EEF"/>
    <w:rsid w:val="0059242E"/>
    <w:rsid w:val="00592748"/>
    <w:rsid w:val="00595003"/>
    <w:rsid w:val="005A1ECF"/>
    <w:rsid w:val="005A5D69"/>
    <w:rsid w:val="005B28D9"/>
    <w:rsid w:val="005B3D40"/>
    <w:rsid w:val="005C202F"/>
    <w:rsid w:val="005C3257"/>
    <w:rsid w:val="005D5842"/>
    <w:rsid w:val="005D63BC"/>
    <w:rsid w:val="005E16F2"/>
    <w:rsid w:val="005E6FED"/>
    <w:rsid w:val="005F3966"/>
    <w:rsid w:val="005F41EC"/>
    <w:rsid w:val="005F6235"/>
    <w:rsid w:val="00604208"/>
    <w:rsid w:val="00610942"/>
    <w:rsid w:val="00616EE2"/>
    <w:rsid w:val="00622470"/>
    <w:rsid w:val="00627753"/>
    <w:rsid w:val="00630105"/>
    <w:rsid w:val="00632119"/>
    <w:rsid w:val="006322BC"/>
    <w:rsid w:val="00632692"/>
    <w:rsid w:val="00641868"/>
    <w:rsid w:val="006477A2"/>
    <w:rsid w:val="006600F3"/>
    <w:rsid w:val="00671A7D"/>
    <w:rsid w:val="0068657D"/>
    <w:rsid w:val="006A0293"/>
    <w:rsid w:val="006A3795"/>
    <w:rsid w:val="006B0053"/>
    <w:rsid w:val="006B0B76"/>
    <w:rsid w:val="006B4AE0"/>
    <w:rsid w:val="006B5511"/>
    <w:rsid w:val="006B66D9"/>
    <w:rsid w:val="006C4C84"/>
    <w:rsid w:val="006D209E"/>
    <w:rsid w:val="006D4D83"/>
    <w:rsid w:val="006E0070"/>
    <w:rsid w:val="006E40BB"/>
    <w:rsid w:val="006E6805"/>
    <w:rsid w:val="006E6FA7"/>
    <w:rsid w:val="006E74D4"/>
    <w:rsid w:val="006F4CCE"/>
    <w:rsid w:val="006F5ECD"/>
    <w:rsid w:val="006F6043"/>
    <w:rsid w:val="00702413"/>
    <w:rsid w:val="00706D2B"/>
    <w:rsid w:val="00713D95"/>
    <w:rsid w:val="007209E2"/>
    <w:rsid w:val="007241D4"/>
    <w:rsid w:val="00724212"/>
    <w:rsid w:val="00727D83"/>
    <w:rsid w:val="0073377D"/>
    <w:rsid w:val="00733B08"/>
    <w:rsid w:val="00733CCE"/>
    <w:rsid w:val="00734062"/>
    <w:rsid w:val="00743DD2"/>
    <w:rsid w:val="00745853"/>
    <w:rsid w:val="007460E4"/>
    <w:rsid w:val="007500F9"/>
    <w:rsid w:val="007546AC"/>
    <w:rsid w:val="00754E7E"/>
    <w:rsid w:val="00756A18"/>
    <w:rsid w:val="00772190"/>
    <w:rsid w:val="0077520D"/>
    <w:rsid w:val="00775A29"/>
    <w:rsid w:val="00776C9A"/>
    <w:rsid w:val="00777884"/>
    <w:rsid w:val="00781BFC"/>
    <w:rsid w:val="0078229D"/>
    <w:rsid w:val="007855F6"/>
    <w:rsid w:val="00786241"/>
    <w:rsid w:val="00787921"/>
    <w:rsid w:val="00791423"/>
    <w:rsid w:val="007939AE"/>
    <w:rsid w:val="007952D4"/>
    <w:rsid w:val="00797604"/>
    <w:rsid w:val="007A352F"/>
    <w:rsid w:val="007A3FB5"/>
    <w:rsid w:val="007A4E6E"/>
    <w:rsid w:val="007A4F4D"/>
    <w:rsid w:val="007B0159"/>
    <w:rsid w:val="007B4BC5"/>
    <w:rsid w:val="007B74A6"/>
    <w:rsid w:val="007C3111"/>
    <w:rsid w:val="007C51C9"/>
    <w:rsid w:val="007E456F"/>
    <w:rsid w:val="007E6D56"/>
    <w:rsid w:val="007E7CFB"/>
    <w:rsid w:val="007F4001"/>
    <w:rsid w:val="007F55EB"/>
    <w:rsid w:val="007F6278"/>
    <w:rsid w:val="007F632E"/>
    <w:rsid w:val="00800685"/>
    <w:rsid w:val="008029D3"/>
    <w:rsid w:val="00813B4F"/>
    <w:rsid w:val="00816CD2"/>
    <w:rsid w:val="00823215"/>
    <w:rsid w:val="00830648"/>
    <w:rsid w:val="00836CB0"/>
    <w:rsid w:val="00847CE8"/>
    <w:rsid w:val="00847DDB"/>
    <w:rsid w:val="00871AE7"/>
    <w:rsid w:val="00872358"/>
    <w:rsid w:val="00881081"/>
    <w:rsid w:val="0088232B"/>
    <w:rsid w:val="00890E59"/>
    <w:rsid w:val="008918AF"/>
    <w:rsid w:val="008924BF"/>
    <w:rsid w:val="008A299F"/>
    <w:rsid w:val="008A2E5D"/>
    <w:rsid w:val="008A3AD5"/>
    <w:rsid w:val="008A4CD8"/>
    <w:rsid w:val="008A5E0D"/>
    <w:rsid w:val="008A7BC6"/>
    <w:rsid w:val="008B697B"/>
    <w:rsid w:val="008E048F"/>
    <w:rsid w:val="008E1707"/>
    <w:rsid w:val="008E3942"/>
    <w:rsid w:val="008F7A1E"/>
    <w:rsid w:val="00920915"/>
    <w:rsid w:val="009210BC"/>
    <w:rsid w:val="009233E1"/>
    <w:rsid w:val="00924ECB"/>
    <w:rsid w:val="0092634F"/>
    <w:rsid w:val="00932313"/>
    <w:rsid w:val="00952A36"/>
    <w:rsid w:val="00957E6E"/>
    <w:rsid w:val="00965841"/>
    <w:rsid w:val="0096625D"/>
    <w:rsid w:val="0097041D"/>
    <w:rsid w:val="00971B84"/>
    <w:rsid w:val="009770F2"/>
    <w:rsid w:val="00981726"/>
    <w:rsid w:val="00985384"/>
    <w:rsid w:val="009854A7"/>
    <w:rsid w:val="00985A53"/>
    <w:rsid w:val="009A5CB7"/>
    <w:rsid w:val="009A5DA5"/>
    <w:rsid w:val="009B7F35"/>
    <w:rsid w:val="009D220F"/>
    <w:rsid w:val="009D65B6"/>
    <w:rsid w:val="009F118B"/>
    <w:rsid w:val="009F3799"/>
    <w:rsid w:val="009F460F"/>
    <w:rsid w:val="00A0197D"/>
    <w:rsid w:val="00A073CB"/>
    <w:rsid w:val="00A0743B"/>
    <w:rsid w:val="00A12F91"/>
    <w:rsid w:val="00A132C2"/>
    <w:rsid w:val="00A15AA3"/>
    <w:rsid w:val="00A164E0"/>
    <w:rsid w:val="00A16E6F"/>
    <w:rsid w:val="00A2007D"/>
    <w:rsid w:val="00A233D7"/>
    <w:rsid w:val="00A27EA0"/>
    <w:rsid w:val="00A27EBD"/>
    <w:rsid w:val="00A35142"/>
    <w:rsid w:val="00A413F3"/>
    <w:rsid w:val="00A43772"/>
    <w:rsid w:val="00A64501"/>
    <w:rsid w:val="00A744A8"/>
    <w:rsid w:val="00A7676B"/>
    <w:rsid w:val="00A82EA8"/>
    <w:rsid w:val="00A92617"/>
    <w:rsid w:val="00AA020A"/>
    <w:rsid w:val="00AA5931"/>
    <w:rsid w:val="00AA5DA2"/>
    <w:rsid w:val="00AA684E"/>
    <w:rsid w:val="00AB3252"/>
    <w:rsid w:val="00AB48A8"/>
    <w:rsid w:val="00AB6371"/>
    <w:rsid w:val="00AC17E1"/>
    <w:rsid w:val="00AE00C8"/>
    <w:rsid w:val="00AE696E"/>
    <w:rsid w:val="00B02AE3"/>
    <w:rsid w:val="00B032A9"/>
    <w:rsid w:val="00B06797"/>
    <w:rsid w:val="00B16C2B"/>
    <w:rsid w:val="00B21503"/>
    <w:rsid w:val="00B25887"/>
    <w:rsid w:val="00B27EC7"/>
    <w:rsid w:val="00B30489"/>
    <w:rsid w:val="00B343C4"/>
    <w:rsid w:val="00B454D0"/>
    <w:rsid w:val="00B61A46"/>
    <w:rsid w:val="00B6555F"/>
    <w:rsid w:val="00B836BA"/>
    <w:rsid w:val="00B906C1"/>
    <w:rsid w:val="00B95CDB"/>
    <w:rsid w:val="00B97696"/>
    <w:rsid w:val="00BA5EF8"/>
    <w:rsid w:val="00BA7283"/>
    <w:rsid w:val="00BB069D"/>
    <w:rsid w:val="00BB12C7"/>
    <w:rsid w:val="00BE7CCA"/>
    <w:rsid w:val="00BF4E9B"/>
    <w:rsid w:val="00C070B8"/>
    <w:rsid w:val="00C11BAD"/>
    <w:rsid w:val="00C17508"/>
    <w:rsid w:val="00C25A08"/>
    <w:rsid w:val="00C264C8"/>
    <w:rsid w:val="00C26A1B"/>
    <w:rsid w:val="00C34A5E"/>
    <w:rsid w:val="00C3555F"/>
    <w:rsid w:val="00C41E6D"/>
    <w:rsid w:val="00C42AD3"/>
    <w:rsid w:val="00C432CD"/>
    <w:rsid w:val="00C47F1B"/>
    <w:rsid w:val="00C62094"/>
    <w:rsid w:val="00C6743B"/>
    <w:rsid w:val="00C70BA7"/>
    <w:rsid w:val="00C72C5F"/>
    <w:rsid w:val="00C746E5"/>
    <w:rsid w:val="00C749FD"/>
    <w:rsid w:val="00C9503E"/>
    <w:rsid w:val="00CA0084"/>
    <w:rsid w:val="00CA0BF9"/>
    <w:rsid w:val="00CA50BD"/>
    <w:rsid w:val="00CA5F26"/>
    <w:rsid w:val="00CB18EC"/>
    <w:rsid w:val="00CB51F4"/>
    <w:rsid w:val="00CB67BF"/>
    <w:rsid w:val="00CC1270"/>
    <w:rsid w:val="00CC3768"/>
    <w:rsid w:val="00CC37AF"/>
    <w:rsid w:val="00CD19CC"/>
    <w:rsid w:val="00CD1F5E"/>
    <w:rsid w:val="00CF2A11"/>
    <w:rsid w:val="00CF4661"/>
    <w:rsid w:val="00CF49B9"/>
    <w:rsid w:val="00D047A7"/>
    <w:rsid w:val="00D11E72"/>
    <w:rsid w:val="00D13547"/>
    <w:rsid w:val="00D21565"/>
    <w:rsid w:val="00D309B8"/>
    <w:rsid w:val="00D372B9"/>
    <w:rsid w:val="00D41568"/>
    <w:rsid w:val="00D525FC"/>
    <w:rsid w:val="00D55857"/>
    <w:rsid w:val="00D6187C"/>
    <w:rsid w:val="00D647F8"/>
    <w:rsid w:val="00D75547"/>
    <w:rsid w:val="00D7794E"/>
    <w:rsid w:val="00D82E2E"/>
    <w:rsid w:val="00D8590D"/>
    <w:rsid w:val="00D87853"/>
    <w:rsid w:val="00D91814"/>
    <w:rsid w:val="00D9438C"/>
    <w:rsid w:val="00DA218D"/>
    <w:rsid w:val="00DA3FC6"/>
    <w:rsid w:val="00DA6ADA"/>
    <w:rsid w:val="00DB3A59"/>
    <w:rsid w:val="00DB3E4A"/>
    <w:rsid w:val="00DB4B5B"/>
    <w:rsid w:val="00DB6476"/>
    <w:rsid w:val="00DC33D0"/>
    <w:rsid w:val="00DD190F"/>
    <w:rsid w:val="00DE3243"/>
    <w:rsid w:val="00DE368C"/>
    <w:rsid w:val="00DE5AE7"/>
    <w:rsid w:val="00DF715C"/>
    <w:rsid w:val="00E01524"/>
    <w:rsid w:val="00E07DE5"/>
    <w:rsid w:val="00E12D9E"/>
    <w:rsid w:val="00E1536D"/>
    <w:rsid w:val="00E17D80"/>
    <w:rsid w:val="00E2222E"/>
    <w:rsid w:val="00E23C6C"/>
    <w:rsid w:val="00E273AF"/>
    <w:rsid w:val="00E40931"/>
    <w:rsid w:val="00E55039"/>
    <w:rsid w:val="00E64E7E"/>
    <w:rsid w:val="00E6643F"/>
    <w:rsid w:val="00E71EA6"/>
    <w:rsid w:val="00E73CA3"/>
    <w:rsid w:val="00E73D15"/>
    <w:rsid w:val="00E81403"/>
    <w:rsid w:val="00E909BE"/>
    <w:rsid w:val="00E95057"/>
    <w:rsid w:val="00E95F3D"/>
    <w:rsid w:val="00EA0B44"/>
    <w:rsid w:val="00EA31C5"/>
    <w:rsid w:val="00EB0CEA"/>
    <w:rsid w:val="00EB168C"/>
    <w:rsid w:val="00EB1FBA"/>
    <w:rsid w:val="00EC3104"/>
    <w:rsid w:val="00EC6882"/>
    <w:rsid w:val="00EC769F"/>
    <w:rsid w:val="00ED7BA8"/>
    <w:rsid w:val="00EF1A3D"/>
    <w:rsid w:val="00EF5E28"/>
    <w:rsid w:val="00F05AE8"/>
    <w:rsid w:val="00F063F5"/>
    <w:rsid w:val="00F15ADF"/>
    <w:rsid w:val="00F16B34"/>
    <w:rsid w:val="00F26F9A"/>
    <w:rsid w:val="00F32FC3"/>
    <w:rsid w:val="00F4255E"/>
    <w:rsid w:val="00F43D4E"/>
    <w:rsid w:val="00F44858"/>
    <w:rsid w:val="00F61170"/>
    <w:rsid w:val="00F676DD"/>
    <w:rsid w:val="00F90A47"/>
    <w:rsid w:val="00F933D4"/>
    <w:rsid w:val="00F93864"/>
    <w:rsid w:val="00FB3378"/>
    <w:rsid w:val="00FB512B"/>
    <w:rsid w:val="00FB62D7"/>
    <w:rsid w:val="00FD06D8"/>
    <w:rsid w:val="00FD6573"/>
    <w:rsid w:val="00FD7798"/>
    <w:rsid w:val="00FE0055"/>
    <w:rsid w:val="00FE0C91"/>
    <w:rsid w:val="00FF592B"/>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6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uiPriority w:val="9"/>
    <w:rsid w:val="00490B3C"/>
    <w:pPr>
      <w:keepNext/>
      <w:keepLines/>
      <w:spacing w:after="360" w:line="259" w:lineRule="auto"/>
      <w:ind w:left="-851"/>
      <w:jc w:val="center"/>
      <w:outlineLvl w:val="0"/>
    </w:pPr>
    <w:rPr>
      <w:rFonts w:ascii="Segoe UI" w:eastAsiaTheme="majorEastAsia" w:hAnsi="Segoe UI" w:cs="Segoe UI"/>
      <w:b/>
      <w:bCs/>
      <w:color w:val="000091" w:themeColor="text1"/>
      <w:sz w:val="36"/>
      <w:szCs w:val="22"/>
      <w:lang w:eastAsia="en-US"/>
    </w:rPr>
  </w:style>
  <w:style w:type="paragraph" w:styleId="Titre2">
    <w:name w:val="heading 2"/>
    <w:aliases w:val="Titre 04"/>
    <w:basedOn w:val="Normal"/>
    <w:next w:val="Normal"/>
    <w:link w:val="Titre2Car"/>
    <w:autoRedefine/>
    <w:uiPriority w:val="9"/>
    <w:unhideWhenUsed/>
    <w:rsid w:val="00472C6F"/>
    <w:pPr>
      <w:keepNext/>
      <w:keepLines/>
      <w:spacing w:after="120" w:line="259" w:lineRule="auto"/>
      <w:outlineLvl w:val="1"/>
    </w:pPr>
    <w:rPr>
      <w:rFonts w:ascii="Marianne Light" w:eastAsiaTheme="majorEastAsia" w:hAnsi="Marianne Light" w:cstheme="majorBidi"/>
      <w:caps/>
      <w:sz w:val="32"/>
      <w:szCs w:val="26"/>
      <w:lang w:eastAsia="en-US"/>
    </w:rPr>
  </w:style>
  <w:style w:type="paragraph" w:styleId="Titre3">
    <w:name w:val="heading 3"/>
    <w:basedOn w:val="Normal"/>
    <w:next w:val="Normal"/>
    <w:link w:val="Titre3Car"/>
    <w:uiPriority w:val="9"/>
    <w:unhideWhenUsed/>
    <w:rsid w:val="00C26A1B"/>
    <w:pPr>
      <w:keepNext/>
      <w:keepLines/>
      <w:spacing w:before="40" w:line="259" w:lineRule="auto"/>
      <w:outlineLvl w:val="2"/>
    </w:pPr>
    <w:rPr>
      <w:rFonts w:asciiTheme="majorHAnsi" w:eastAsiaTheme="majorEastAsia" w:hAnsiTheme="majorHAnsi" w:cstheme="majorBidi"/>
      <w:color w:val="004740" w:themeColor="accent1" w:themeShade="7F"/>
      <w:lang w:eastAsia="en-US"/>
    </w:rPr>
  </w:style>
  <w:style w:type="paragraph" w:styleId="Titre4">
    <w:name w:val="heading 4"/>
    <w:basedOn w:val="Normal"/>
    <w:next w:val="Normal"/>
    <w:link w:val="Titre4Car"/>
    <w:uiPriority w:val="9"/>
    <w:unhideWhenUsed/>
    <w:rsid w:val="00F676DD"/>
    <w:pPr>
      <w:keepNext/>
      <w:keepLines/>
      <w:spacing w:before="40" w:line="259" w:lineRule="auto"/>
      <w:outlineLvl w:val="3"/>
    </w:pPr>
    <w:rPr>
      <w:rFonts w:asciiTheme="majorHAnsi" w:eastAsiaTheme="majorEastAsia" w:hAnsiTheme="majorHAnsi" w:cstheme="majorBidi"/>
      <w:i/>
      <w:iCs/>
      <w:color w:val="006B60"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CB67BF"/>
    <w:pPr>
      <w:spacing w:before="240" w:after="80"/>
      <w:ind w:left="-284"/>
      <w:jc w:val="both"/>
    </w:pPr>
    <w:rPr>
      <w:rFonts w:ascii="Segoe UI" w:eastAsiaTheme="minorHAnsi" w:hAnsi="Segoe UI" w:cs="Segoe UI"/>
      <w:b/>
      <w:color w:val="000091" w:themeColor="text1"/>
      <w:sz w:val="22"/>
      <w:szCs w:val="20"/>
      <w:lang w:eastAsia="en-US"/>
    </w:rPr>
  </w:style>
  <w:style w:type="paragraph" w:customStyle="1" w:styleId="Soustitre">
    <w:name w:val="Sous titre"/>
    <w:basedOn w:val="Normal"/>
    <w:link w:val="SoustitreCar"/>
    <w:autoRedefine/>
    <w:rsid w:val="00E07DE5"/>
    <w:pPr>
      <w:spacing w:after="160" w:line="259" w:lineRule="auto"/>
      <w:ind w:left="709"/>
    </w:pPr>
    <w:rPr>
      <w:rFonts w:ascii="Marianne Light" w:hAnsi="Marianne Light" w:cs="Arial"/>
      <w:b/>
      <w:sz w:val="44"/>
      <w:szCs w:val="96"/>
    </w:rPr>
  </w:style>
  <w:style w:type="character" w:customStyle="1" w:styleId="Titre02Car">
    <w:name w:val="Titre 02 Car"/>
    <w:basedOn w:val="Policepardfaut"/>
    <w:link w:val="Titre02"/>
    <w:rsid w:val="00CB67BF"/>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contextualSpacing/>
    </w:pPr>
    <w:rPr>
      <w:rFonts w:ascii="Marianne ExtraBold" w:eastAsiaTheme="majorEastAsia" w:hAnsi="Marianne ExtraBold" w:cstheme="majorBidi"/>
      <w:spacing w:val="-10"/>
      <w:kern w:val="28"/>
      <w:sz w:val="96"/>
      <w:szCs w:val="56"/>
      <w:lang w:eastAsia="en-US"/>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after="160" w:line="259" w:lineRule="auto"/>
    </w:pPr>
    <w:rPr>
      <w:rFonts w:ascii="Marianne Light" w:eastAsiaTheme="minorHAnsi" w:hAnsi="Marianne Light" w:cstheme="minorBidi"/>
      <w:color w:val="6A6AF4" w:themeColor="text2"/>
      <w:sz w:val="26"/>
      <w:szCs w:val="26"/>
      <w:lang w:eastAsia="en-US"/>
    </w:rPr>
  </w:style>
  <w:style w:type="paragraph" w:customStyle="1" w:styleId="Titreliste">
    <w:name w:val="Titre liste"/>
    <w:basedOn w:val="Normal"/>
    <w:link w:val="TitrelisteCar"/>
    <w:rsid w:val="00DE5AE7"/>
    <w:pPr>
      <w:spacing w:before="240" w:after="80" w:line="259" w:lineRule="auto"/>
    </w:pPr>
    <w:rPr>
      <w:rFonts w:asciiTheme="minorHAnsi" w:eastAsiaTheme="minorHAnsi" w:hAnsiTheme="minorHAnsi" w:cstheme="minorBidi"/>
      <w:color w:val="000091" w:themeColor="text1"/>
      <w:sz w:val="22"/>
      <w:szCs w:val="22"/>
      <w:lang w:eastAsia="en-US"/>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ind w:left="-284"/>
      <w:jc w:val="both"/>
    </w:pPr>
    <w:rPr>
      <w:rFonts w:ascii="Segoe UI" w:eastAsiaTheme="minorHAnsi" w:hAnsi="Segoe UI" w:cs="Segoe UI"/>
      <w:sz w:val="20"/>
      <w:szCs w:val="20"/>
      <w:lang w:eastAsia="en-US"/>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line="259" w:lineRule="auto"/>
    </w:pPr>
    <w:rPr>
      <w:rFonts w:ascii="Marianne Light" w:eastAsiaTheme="minorHAnsi" w:hAnsi="Marianne Light" w:cstheme="minorBidi"/>
      <w:color w:val="1212FF"/>
      <w:sz w:val="22"/>
      <w:szCs w:val="22"/>
      <w:u w:val="single"/>
      <w:lang w:eastAsia="en-US"/>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line="259" w:lineRule="auto"/>
      <w:ind w:left="862" w:right="862"/>
    </w:pPr>
    <w:rPr>
      <w:rFonts w:ascii="Spectral Medium" w:eastAsiaTheme="minorHAnsi" w:hAnsi="Spectral Medium" w:cstheme="minorBidi"/>
      <w:i/>
      <w:iCs/>
      <w:color w:val="6D6DFF" w:themeColor="text1" w:themeTint="66"/>
      <w:sz w:val="28"/>
      <w:szCs w:val="22"/>
      <w:lang w:eastAsia="en-US"/>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spacing w:after="160" w:line="259" w:lineRule="auto"/>
      <w:ind w:right="-1417" w:hanging="709"/>
      <w:jc w:val="center"/>
    </w:pPr>
    <w:rPr>
      <w:rFonts w:ascii="Marianne" w:eastAsiaTheme="minorHAnsi" w:hAnsi="Marianne" w:cs="Segoe UI"/>
      <w:b/>
      <w:bCs/>
      <w:color w:val="E4A503" w:themeColor="accent2" w:themeShade="BF"/>
      <w:sz w:val="28"/>
      <w:szCs w:val="28"/>
      <w:lang w:eastAsia="en-US"/>
    </w:rPr>
  </w:style>
  <w:style w:type="paragraph" w:customStyle="1" w:styleId="Commentairenote">
    <w:name w:val="Commentaire note"/>
    <w:basedOn w:val="Normal"/>
    <w:rsid w:val="00706D2B"/>
    <w:pPr>
      <w:spacing w:after="160" w:line="259" w:lineRule="auto"/>
      <w:ind w:right="-708"/>
    </w:pPr>
    <w:rPr>
      <w:rFonts w:ascii="Marianne" w:eastAsiaTheme="minorHAnsi" w:hAnsi="Marianne" w:cs="Segoe UI"/>
      <w:i/>
      <w:iCs/>
      <w:color w:val="6A6AF4" w:themeColor="text2"/>
      <w:sz w:val="22"/>
      <w:szCs w:val="22"/>
      <w:lang w:eastAsia="en-US"/>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rPr>
      <w:rFonts w:asciiTheme="minorHAnsi" w:eastAsia="SimSun" w:hAnsiTheme="minorHAnsi" w:cstheme="minorBidi"/>
      <w:sz w:val="20"/>
      <w:szCs w:val="20"/>
      <w:lang w:eastAsia="en-US"/>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line="260" w:lineRule="exact"/>
      <w:jc w:val="both"/>
    </w:pPr>
    <w:rPr>
      <w:rFonts w:ascii="Marianne" w:eastAsiaTheme="minorHAnsi" w:hAnsi="Marianne" w:cs="Times New Roman (Corps CS)"/>
      <w:color w:val="1A171B"/>
      <w:sz w:val="20"/>
      <w:lang w:eastAsia="en-US"/>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line="260" w:lineRule="exact"/>
      <w:jc w:val="both"/>
    </w:pPr>
    <w:rPr>
      <w:rFonts w:ascii="Segoe UI" w:eastAsiaTheme="minorHAnsi" w:hAnsi="Segoe UI" w:cs="Times New Roman (Corps CS)"/>
      <w:color w:val="1A171B"/>
      <w:sz w:val="20"/>
      <w:lang w:eastAsia="en-US"/>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styleId="NormalWeb">
    <w:name w:val="Normal (Web)"/>
    <w:basedOn w:val="Normal"/>
    <w:uiPriority w:val="99"/>
    <w:unhideWhenUsed/>
    <w:rsid w:val="008A7BC6"/>
    <w:pPr>
      <w:spacing w:before="100" w:beforeAutospacing="1" w:after="100" w:afterAutospacing="1"/>
    </w:pPr>
  </w:style>
  <w:style w:type="paragraph" w:styleId="Rvision">
    <w:name w:val="Revision"/>
    <w:hidden/>
    <w:uiPriority w:val="99"/>
    <w:semiHidden/>
    <w:rsid w:val="005C202F"/>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9254">
      <w:bodyDiv w:val="1"/>
      <w:marLeft w:val="0"/>
      <w:marRight w:val="0"/>
      <w:marTop w:val="0"/>
      <w:marBottom w:val="0"/>
      <w:divBdr>
        <w:top w:val="none" w:sz="0" w:space="0" w:color="auto"/>
        <w:left w:val="none" w:sz="0" w:space="0" w:color="auto"/>
        <w:bottom w:val="none" w:sz="0" w:space="0" w:color="auto"/>
        <w:right w:val="none" w:sz="0" w:space="0" w:color="auto"/>
      </w:divBdr>
    </w:div>
    <w:div w:id="52001271">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76847965">
      <w:bodyDiv w:val="1"/>
      <w:marLeft w:val="0"/>
      <w:marRight w:val="0"/>
      <w:marTop w:val="0"/>
      <w:marBottom w:val="0"/>
      <w:divBdr>
        <w:top w:val="none" w:sz="0" w:space="0" w:color="auto"/>
        <w:left w:val="none" w:sz="0" w:space="0" w:color="auto"/>
        <w:bottom w:val="none" w:sz="0" w:space="0" w:color="auto"/>
        <w:right w:val="none" w:sz="0" w:space="0" w:color="auto"/>
      </w:divBdr>
    </w:div>
    <w:div w:id="248853304">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17077488">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66437527">
      <w:bodyDiv w:val="1"/>
      <w:marLeft w:val="0"/>
      <w:marRight w:val="0"/>
      <w:marTop w:val="0"/>
      <w:marBottom w:val="0"/>
      <w:divBdr>
        <w:top w:val="none" w:sz="0" w:space="0" w:color="auto"/>
        <w:left w:val="none" w:sz="0" w:space="0" w:color="auto"/>
        <w:bottom w:val="none" w:sz="0" w:space="0" w:color="auto"/>
        <w:right w:val="none" w:sz="0" w:space="0" w:color="auto"/>
      </w:divBdr>
    </w:div>
    <w:div w:id="557516332">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06419637">
      <w:bodyDiv w:val="1"/>
      <w:marLeft w:val="0"/>
      <w:marRight w:val="0"/>
      <w:marTop w:val="0"/>
      <w:marBottom w:val="0"/>
      <w:divBdr>
        <w:top w:val="none" w:sz="0" w:space="0" w:color="auto"/>
        <w:left w:val="none" w:sz="0" w:space="0" w:color="auto"/>
        <w:bottom w:val="none" w:sz="0" w:space="0" w:color="auto"/>
        <w:right w:val="none" w:sz="0" w:space="0" w:color="auto"/>
      </w:divBdr>
    </w:div>
    <w:div w:id="707223584">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0077069">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757098851">
      <w:bodyDiv w:val="1"/>
      <w:marLeft w:val="0"/>
      <w:marRight w:val="0"/>
      <w:marTop w:val="0"/>
      <w:marBottom w:val="0"/>
      <w:divBdr>
        <w:top w:val="none" w:sz="0" w:space="0" w:color="auto"/>
        <w:left w:val="none" w:sz="0" w:space="0" w:color="auto"/>
        <w:bottom w:val="none" w:sz="0" w:space="0" w:color="auto"/>
        <w:right w:val="none" w:sz="0" w:space="0" w:color="auto"/>
      </w:divBdr>
    </w:div>
    <w:div w:id="791216975">
      <w:bodyDiv w:val="1"/>
      <w:marLeft w:val="0"/>
      <w:marRight w:val="0"/>
      <w:marTop w:val="0"/>
      <w:marBottom w:val="0"/>
      <w:divBdr>
        <w:top w:val="none" w:sz="0" w:space="0" w:color="auto"/>
        <w:left w:val="none" w:sz="0" w:space="0" w:color="auto"/>
        <w:bottom w:val="none" w:sz="0" w:space="0" w:color="auto"/>
        <w:right w:val="none" w:sz="0" w:space="0" w:color="auto"/>
      </w:divBdr>
    </w:div>
    <w:div w:id="873617619">
      <w:bodyDiv w:val="1"/>
      <w:marLeft w:val="0"/>
      <w:marRight w:val="0"/>
      <w:marTop w:val="0"/>
      <w:marBottom w:val="0"/>
      <w:divBdr>
        <w:top w:val="none" w:sz="0" w:space="0" w:color="auto"/>
        <w:left w:val="none" w:sz="0" w:space="0" w:color="auto"/>
        <w:bottom w:val="none" w:sz="0" w:space="0" w:color="auto"/>
        <w:right w:val="none" w:sz="0" w:space="0" w:color="auto"/>
      </w:divBdr>
    </w:div>
    <w:div w:id="875316806">
      <w:bodyDiv w:val="1"/>
      <w:marLeft w:val="0"/>
      <w:marRight w:val="0"/>
      <w:marTop w:val="0"/>
      <w:marBottom w:val="0"/>
      <w:divBdr>
        <w:top w:val="none" w:sz="0" w:space="0" w:color="auto"/>
        <w:left w:val="none" w:sz="0" w:space="0" w:color="auto"/>
        <w:bottom w:val="none" w:sz="0" w:space="0" w:color="auto"/>
        <w:right w:val="none" w:sz="0" w:space="0" w:color="auto"/>
      </w:divBdr>
      <w:divsChild>
        <w:div w:id="1428887792">
          <w:marLeft w:val="-720"/>
          <w:marRight w:val="0"/>
          <w:marTop w:val="0"/>
          <w:marBottom w:val="0"/>
          <w:divBdr>
            <w:top w:val="none" w:sz="0" w:space="0" w:color="auto"/>
            <w:left w:val="none" w:sz="0" w:space="0" w:color="auto"/>
            <w:bottom w:val="none" w:sz="0" w:space="0" w:color="auto"/>
            <w:right w:val="none" w:sz="0" w:space="0" w:color="auto"/>
          </w:divBdr>
        </w:div>
      </w:divsChild>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029797100">
      <w:bodyDiv w:val="1"/>
      <w:marLeft w:val="0"/>
      <w:marRight w:val="0"/>
      <w:marTop w:val="0"/>
      <w:marBottom w:val="0"/>
      <w:divBdr>
        <w:top w:val="none" w:sz="0" w:space="0" w:color="auto"/>
        <w:left w:val="none" w:sz="0" w:space="0" w:color="auto"/>
        <w:bottom w:val="none" w:sz="0" w:space="0" w:color="auto"/>
        <w:right w:val="none" w:sz="0" w:space="0" w:color="auto"/>
      </w:divBdr>
    </w:div>
    <w:div w:id="1070273574">
      <w:bodyDiv w:val="1"/>
      <w:marLeft w:val="0"/>
      <w:marRight w:val="0"/>
      <w:marTop w:val="0"/>
      <w:marBottom w:val="0"/>
      <w:divBdr>
        <w:top w:val="none" w:sz="0" w:space="0" w:color="auto"/>
        <w:left w:val="none" w:sz="0" w:space="0" w:color="auto"/>
        <w:bottom w:val="none" w:sz="0" w:space="0" w:color="auto"/>
        <w:right w:val="none" w:sz="0" w:space="0" w:color="auto"/>
      </w:divBdr>
    </w:div>
    <w:div w:id="1076055773">
      <w:bodyDiv w:val="1"/>
      <w:marLeft w:val="0"/>
      <w:marRight w:val="0"/>
      <w:marTop w:val="0"/>
      <w:marBottom w:val="0"/>
      <w:divBdr>
        <w:top w:val="none" w:sz="0" w:space="0" w:color="auto"/>
        <w:left w:val="none" w:sz="0" w:space="0" w:color="auto"/>
        <w:bottom w:val="none" w:sz="0" w:space="0" w:color="auto"/>
        <w:right w:val="none" w:sz="0" w:space="0" w:color="auto"/>
      </w:divBdr>
    </w:div>
    <w:div w:id="1106002354">
      <w:bodyDiv w:val="1"/>
      <w:marLeft w:val="0"/>
      <w:marRight w:val="0"/>
      <w:marTop w:val="0"/>
      <w:marBottom w:val="0"/>
      <w:divBdr>
        <w:top w:val="none" w:sz="0" w:space="0" w:color="auto"/>
        <w:left w:val="none" w:sz="0" w:space="0" w:color="auto"/>
        <w:bottom w:val="none" w:sz="0" w:space="0" w:color="auto"/>
        <w:right w:val="none" w:sz="0" w:space="0" w:color="auto"/>
      </w:divBdr>
    </w:div>
    <w:div w:id="1113861491">
      <w:bodyDiv w:val="1"/>
      <w:marLeft w:val="0"/>
      <w:marRight w:val="0"/>
      <w:marTop w:val="0"/>
      <w:marBottom w:val="0"/>
      <w:divBdr>
        <w:top w:val="none" w:sz="0" w:space="0" w:color="auto"/>
        <w:left w:val="none" w:sz="0" w:space="0" w:color="auto"/>
        <w:bottom w:val="none" w:sz="0" w:space="0" w:color="auto"/>
        <w:right w:val="none" w:sz="0" w:space="0" w:color="auto"/>
      </w:divBdr>
    </w:div>
    <w:div w:id="1149129637">
      <w:bodyDiv w:val="1"/>
      <w:marLeft w:val="0"/>
      <w:marRight w:val="0"/>
      <w:marTop w:val="0"/>
      <w:marBottom w:val="0"/>
      <w:divBdr>
        <w:top w:val="none" w:sz="0" w:space="0" w:color="auto"/>
        <w:left w:val="none" w:sz="0" w:space="0" w:color="auto"/>
        <w:bottom w:val="none" w:sz="0" w:space="0" w:color="auto"/>
        <w:right w:val="none" w:sz="0" w:space="0" w:color="auto"/>
      </w:divBdr>
    </w:div>
    <w:div w:id="1232957868">
      <w:bodyDiv w:val="1"/>
      <w:marLeft w:val="0"/>
      <w:marRight w:val="0"/>
      <w:marTop w:val="0"/>
      <w:marBottom w:val="0"/>
      <w:divBdr>
        <w:top w:val="none" w:sz="0" w:space="0" w:color="auto"/>
        <w:left w:val="none" w:sz="0" w:space="0" w:color="auto"/>
        <w:bottom w:val="none" w:sz="0" w:space="0" w:color="auto"/>
        <w:right w:val="none" w:sz="0" w:space="0" w:color="auto"/>
      </w:divBdr>
    </w:div>
    <w:div w:id="1244140934">
      <w:bodyDiv w:val="1"/>
      <w:marLeft w:val="0"/>
      <w:marRight w:val="0"/>
      <w:marTop w:val="0"/>
      <w:marBottom w:val="0"/>
      <w:divBdr>
        <w:top w:val="none" w:sz="0" w:space="0" w:color="auto"/>
        <w:left w:val="none" w:sz="0" w:space="0" w:color="auto"/>
        <w:bottom w:val="none" w:sz="0" w:space="0" w:color="auto"/>
        <w:right w:val="none" w:sz="0" w:space="0" w:color="auto"/>
      </w:divBdr>
    </w:div>
    <w:div w:id="1281912803">
      <w:bodyDiv w:val="1"/>
      <w:marLeft w:val="0"/>
      <w:marRight w:val="0"/>
      <w:marTop w:val="0"/>
      <w:marBottom w:val="0"/>
      <w:divBdr>
        <w:top w:val="none" w:sz="0" w:space="0" w:color="auto"/>
        <w:left w:val="none" w:sz="0" w:space="0" w:color="auto"/>
        <w:bottom w:val="none" w:sz="0" w:space="0" w:color="auto"/>
        <w:right w:val="none" w:sz="0" w:space="0" w:color="auto"/>
      </w:divBdr>
    </w:div>
    <w:div w:id="1365135984">
      <w:bodyDiv w:val="1"/>
      <w:marLeft w:val="0"/>
      <w:marRight w:val="0"/>
      <w:marTop w:val="0"/>
      <w:marBottom w:val="0"/>
      <w:divBdr>
        <w:top w:val="none" w:sz="0" w:space="0" w:color="auto"/>
        <w:left w:val="none" w:sz="0" w:space="0" w:color="auto"/>
        <w:bottom w:val="none" w:sz="0" w:space="0" w:color="auto"/>
        <w:right w:val="none" w:sz="0" w:space="0" w:color="auto"/>
      </w:divBdr>
    </w:div>
    <w:div w:id="1383485015">
      <w:bodyDiv w:val="1"/>
      <w:marLeft w:val="0"/>
      <w:marRight w:val="0"/>
      <w:marTop w:val="0"/>
      <w:marBottom w:val="0"/>
      <w:divBdr>
        <w:top w:val="none" w:sz="0" w:space="0" w:color="auto"/>
        <w:left w:val="none" w:sz="0" w:space="0" w:color="auto"/>
        <w:bottom w:val="none" w:sz="0" w:space="0" w:color="auto"/>
        <w:right w:val="none" w:sz="0" w:space="0" w:color="auto"/>
      </w:divBdr>
    </w:div>
    <w:div w:id="1545874033">
      <w:bodyDiv w:val="1"/>
      <w:marLeft w:val="0"/>
      <w:marRight w:val="0"/>
      <w:marTop w:val="0"/>
      <w:marBottom w:val="0"/>
      <w:divBdr>
        <w:top w:val="none" w:sz="0" w:space="0" w:color="auto"/>
        <w:left w:val="none" w:sz="0" w:space="0" w:color="auto"/>
        <w:bottom w:val="none" w:sz="0" w:space="0" w:color="auto"/>
        <w:right w:val="none" w:sz="0" w:space="0" w:color="auto"/>
      </w:divBdr>
    </w:div>
    <w:div w:id="1836872526">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1987276831">
      <w:bodyDiv w:val="1"/>
      <w:marLeft w:val="0"/>
      <w:marRight w:val="0"/>
      <w:marTop w:val="0"/>
      <w:marBottom w:val="0"/>
      <w:divBdr>
        <w:top w:val="none" w:sz="0" w:space="0" w:color="auto"/>
        <w:left w:val="none" w:sz="0" w:space="0" w:color="auto"/>
        <w:bottom w:val="none" w:sz="0" w:space="0" w:color="auto"/>
        <w:right w:val="none" w:sz="0" w:space="0" w:color="auto"/>
      </w:divBdr>
    </w:div>
    <w:div w:id="2041514761">
      <w:bodyDiv w:val="1"/>
      <w:marLeft w:val="0"/>
      <w:marRight w:val="0"/>
      <w:marTop w:val="0"/>
      <w:marBottom w:val="0"/>
      <w:divBdr>
        <w:top w:val="none" w:sz="0" w:space="0" w:color="auto"/>
        <w:left w:val="none" w:sz="0" w:space="0" w:color="auto"/>
        <w:bottom w:val="none" w:sz="0" w:space="0" w:color="auto"/>
        <w:right w:val="none" w:sz="0" w:space="0" w:color="auto"/>
      </w:divBdr>
    </w:div>
    <w:div w:id="20486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r>
              <a:rPr lang="fr-FR" sz="1100" b="1" i="0" u="none" strike="noStrike" baseline="0"/>
              <a:t>Évolution des importations et exportations de la </a:t>
            </a:r>
          </a:p>
          <a:p>
            <a:pPr>
              <a:defRPr/>
            </a:pPr>
            <a:r>
              <a:rPr lang="fr-FR" sz="1100" b="1" i="0" u="none" strike="noStrike" baseline="0"/>
              <a:t>Lettonie (2005-2024)</a:t>
            </a:r>
            <a:endParaRPr lang="fr-FR" sz="1100" b="1"/>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0.18026282088809534"/>
          <c:y val="0.24854177859056384"/>
          <c:w val="0.77740117232093198"/>
          <c:h val="0.50901631782588164"/>
        </c:manualLayout>
      </c:layout>
      <c:lineChart>
        <c:grouping val="standard"/>
        <c:varyColors val="0"/>
        <c:ser>
          <c:idx val="1"/>
          <c:order val="1"/>
          <c:tx>
            <c:strRef>
              <c:f>Feuil2!$B$1</c:f>
              <c:strCache>
                <c:ptCount val="1"/>
                <c:pt idx="0">
                  <c:v>Importation</c:v>
                </c:pt>
              </c:strCache>
            </c:strRef>
          </c:tx>
          <c:spPr>
            <a:ln w="28575" cap="rnd">
              <a:solidFill>
                <a:srgbClr val="EC7320"/>
              </a:solidFill>
              <a:round/>
            </a:ln>
            <a:effectLst/>
          </c:spPr>
          <c:marker>
            <c:symbol val="none"/>
          </c:marker>
          <c:cat>
            <c:numRef>
              <c:f>Feuil2!$A$2:$A$21</c:f>
              <c:numCache>
                <c:formatCode>0</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Feuil2!$B$2:$B$21</c:f>
              <c:numCache>
                <c:formatCode>#,##0</c:formatCode>
                <c:ptCount val="20"/>
                <c:pt idx="0">
                  <c:v>6925131093</c:v>
                </c:pt>
                <c:pt idx="1">
                  <c:v>9075762897</c:v>
                </c:pt>
                <c:pt idx="2">
                  <c:v>11070268154</c:v>
                </c:pt>
                <c:pt idx="3">
                  <c:v>10710928544</c:v>
                </c:pt>
                <c:pt idx="4">
                  <c:v>6701406573</c:v>
                </c:pt>
                <c:pt idx="5">
                  <c:v>8411838221</c:v>
                </c:pt>
                <c:pt idx="6">
                  <c:v>10983288391</c:v>
                </c:pt>
                <c:pt idx="7">
                  <c:v>12512279641</c:v>
                </c:pt>
                <c:pt idx="8">
                  <c:v>12635138880</c:v>
                </c:pt>
                <c:pt idx="9">
                  <c:v>12909015033</c:v>
                </c:pt>
                <c:pt idx="10">
                  <c:v>12710128172</c:v>
                </c:pt>
                <c:pt idx="11">
                  <c:v>12416571142</c:v>
                </c:pt>
                <c:pt idx="12">
                  <c:v>14176718116</c:v>
                </c:pt>
                <c:pt idx="13">
                  <c:v>15792858749</c:v>
                </c:pt>
                <c:pt idx="14">
                  <c:v>15913551884</c:v>
                </c:pt>
                <c:pt idx="15">
                  <c:v>15159470115</c:v>
                </c:pt>
                <c:pt idx="16">
                  <c:v>19518930871</c:v>
                </c:pt>
                <c:pt idx="17">
                  <c:v>26495660932</c:v>
                </c:pt>
                <c:pt idx="18">
                  <c:v>23406507342</c:v>
                </c:pt>
                <c:pt idx="19">
                  <c:v>21681121875</c:v>
                </c:pt>
              </c:numCache>
            </c:numRef>
          </c:val>
          <c:smooth val="0"/>
          <c:extLst>
            <c:ext xmlns:c16="http://schemas.microsoft.com/office/drawing/2014/chart" uri="{C3380CC4-5D6E-409C-BE32-E72D297353CC}">
              <c16:uniqueId val="{00000000-81BD-4C25-8782-FC3BC424C914}"/>
            </c:ext>
          </c:extLst>
        </c:ser>
        <c:ser>
          <c:idx val="2"/>
          <c:order val="2"/>
          <c:tx>
            <c:strRef>
              <c:f>Feuil2!$C$1</c:f>
              <c:strCache>
                <c:ptCount val="1"/>
                <c:pt idx="0">
                  <c:v>Exportation</c:v>
                </c:pt>
              </c:strCache>
            </c:strRef>
          </c:tx>
          <c:spPr>
            <a:ln w="28575" cap="rnd">
              <a:solidFill>
                <a:srgbClr val="002060"/>
              </a:solidFill>
              <a:round/>
            </a:ln>
            <a:effectLst/>
          </c:spPr>
          <c:marker>
            <c:symbol val="none"/>
          </c:marker>
          <c:cat>
            <c:numRef>
              <c:f>Feuil2!$A$2:$A$21</c:f>
              <c:numCache>
                <c:formatCode>0</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Feuil2!$C$2:$C$21</c:f>
              <c:numCache>
                <c:formatCode>#,##0</c:formatCode>
                <c:ptCount val="20"/>
                <c:pt idx="0">
                  <c:v>4109584041</c:v>
                </c:pt>
                <c:pt idx="1">
                  <c:v>4685812188</c:v>
                </c:pt>
                <c:pt idx="2">
                  <c:v>5748817375</c:v>
                </c:pt>
                <c:pt idx="3">
                  <c:v>6301820317</c:v>
                </c:pt>
                <c:pt idx="4">
                  <c:v>5125529213</c:v>
                </c:pt>
                <c:pt idx="5">
                  <c:v>6680217842</c:v>
                </c:pt>
                <c:pt idx="6">
                  <c:v>8535119006</c:v>
                </c:pt>
                <c:pt idx="7">
                  <c:v>9871053741</c:v>
                </c:pt>
                <c:pt idx="8">
                  <c:v>10021291183</c:v>
                </c:pt>
                <c:pt idx="9">
                  <c:v>10386306949</c:v>
                </c:pt>
                <c:pt idx="10">
                  <c:v>10504567382</c:v>
                </c:pt>
                <c:pt idx="11">
                  <c:v>10490023595</c:v>
                </c:pt>
                <c:pt idx="12">
                  <c:v>11647288907</c:v>
                </c:pt>
                <c:pt idx="13">
                  <c:v>12773392448</c:v>
                </c:pt>
                <c:pt idx="14">
                  <c:v>12965597145</c:v>
                </c:pt>
                <c:pt idx="15">
                  <c:v>13304660251</c:v>
                </c:pt>
                <c:pt idx="16">
                  <c:v>16452347493</c:v>
                </c:pt>
                <c:pt idx="17">
                  <c:v>21333617948</c:v>
                </c:pt>
                <c:pt idx="18">
                  <c:v>19046599928</c:v>
                </c:pt>
                <c:pt idx="19">
                  <c:v>18681143510</c:v>
                </c:pt>
              </c:numCache>
            </c:numRef>
          </c:val>
          <c:smooth val="0"/>
          <c:extLst>
            <c:ext xmlns:c16="http://schemas.microsoft.com/office/drawing/2014/chart" uri="{C3380CC4-5D6E-409C-BE32-E72D297353CC}">
              <c16:uniqueId val="{00000001-81BD-4C25-8782-FC3BC424C914}"/>
            </c:ext>
          </c:extLst>
        </c:ser>
        <c:dLbls>
          <c:showLegendKey val="0"/>
          <c:showVal val="0"/>
          <c:showCatName val="0"/>
          <c:showSerName val="0"/>
          <c:showPercent val="0"/>
          <c:showBubbleSize val="0"/>
        </c:dLbls>
        <c:smooth val="0"/>
        <c:axId val="1809072911"/>
        <c:axId val="1809069583"/>
        <c:extLst>
          <c:ext xmlns:c15="http://schemas.microsoft.com/office/drawing/2012/chart" uri="{02D57815-91ED-43cb-92C2-25804820EDAC}">
            <c15:filteredLineSeries>
              <c15:ser>
                <c:idx val="0"/>
                <c:order val="0"/>
                <c:tx>
                  <c:strRef>
                    <c:extLst>
                      <c:ext uri="{02D57815-91ED-43cb-92C2-25804820EDAC}">
                        <c15:formulaRef>
                          <c15:sqref>Feuil2!$A$1</c15:sqref>
                        </c15:formulaRef>
                      </c:ext>
                    </c:extLst>
                    <c:strCache>
                      <c:ptCount val="1"/>
                      <c:pt idx="0">
                        <c:v>Année</c:v>
                      </c:pt>
                    </c:strCache>
                  </c:strRef>
                </c:tx>
                <c:spPr>
                  <a:ln w="28575" cap="rnd">
                    <a:solidFill>
                      <a:schemeClr val="accent1"/>
                    </a:solidFill>
                    <a:round/>
                  </a:ln>
                  <a:effectLst/>
                </c:spPr>
                <c:marker>
                  <c:symbol val="none"/>
                </c:marker>
                <c:cat>
                  <c:numRef>
                    <c:extLst>
                      <c:ext uri="{02D57815-91ED-43cb-92C2-25804820EDAC}">
                        <c15:formulaRef>
                          <c15:sqref>Feuil2!$A$2:$A$21</c15:sqref>
                        </c15:formulaRef>
                      </c:ext>
                    </c:extLst>
                    <c:numCache>
                      <c:formatCode>0</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extLst>
                      <c:ext uri="{02D57815-91ED-43cb-92C2-25804820EDAC}">
                        <c15:formulaRef>
                          <c15:sqref>Feuil2!$A$2:$A$21</c15:sqref>
                        </c15:formulaRef>
                      </c:ext>
                    </c:extLst>
                    <c:numCache>
                      <c:formatCode>0</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val>
                <c:smooth val="0"/>
                <c:extLst>
                  <c:ext xmlns:c16="http://schemas.microsoft.com/office/drawing/2014/chart" uri="{C3380CC4-5D6E-409C-BE32-E72D297353CC}">
                    <c16:uniqueId val="{00000002-81BD-4C25-8782-FC3BC424C914}"/>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Feuil2!$D$1</c15:sqref>
                        </c15:formulaRef>
                      </c:ext>
                    </c:extLst>
                    <c:strCache>
                      <c:ptCount val="1"/>
                      <c:pt idx="0">
                        <c:v>Solde</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Feuil2!$A$2:$A$21</c15:sqref>
                        </c15:formulaRef>
                      </c:ext>
                    </c:extLst>
                    <c:numCache>
                      <c:formatCode>0</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extLst xmlns:c15="http://schemas.microsoft.com/office/drawing/2012/chart">
                      <c:ext xmlns:c15="http://schemas.microsoft.com/office/drawing/2012/chart" uri="{02D57815-91ED-43cb-92C2-25804820EDAC}">
                        <c15:formulaRef>
                          <c15:sqref>Feuil2!$D$2:$D$21</c15:sqref>
                        </c15:formulaRef>
                      </c:ext>
                    </c:extLst>
                    <c:numCache>
                      <c:formatCode>#,##0</c:formatCode>
                      <c:ptCount val="20"/>
                      <c:pt idx="0">
                        <c:v>-2815547052</c:v>
                      </c:pt>
                      <c:pt idx="1">
                        <c:v>-4389950709</c:v>
                      </c:pt>
                      <c:pt idx="2">
                        <c:v>-5321450779</c:v>
                      </c:pt>
                      <c:pt idx="3">
                        <c:v>-4409108227</c:v>
                      </c:pt>
                      <c:pt idx="4">
                        <c:v>-1575877360</c:v>
                      </c:pt>
                      <c:pt idx="5">
                        <c:v>-1731620379</c:v>
                      </c:pt>
                      <c:pt idx="6">
                        <c:v>-2448169385</c:v>
                      </c:pt>
                      <c:pt idx="7">
                        <c:v>-2641225900</c:v>
                      </c:pt>
                      <c:pt idx="8">
                        <c:v>-2613847697</c:v>
                      </c:pt>
                      <c:pt idx="9">
                        <c:v>-2522708084</c:v>
                      </c:pt>
                      <c:pt idx="10">
                        <c:v>-2205560790</c:v>
                      </c:pt>
                      <c:pt idx="11">
                        <c:v>-1926547547</c:v>
                      </c:pt>
                      <c:pt idx="12">
                        <c:v>-2529429209</c:v>
                      </c:pt>
                      <c:pt idx="13">
                        <c:v>-3019466301</c:v>
                      </c:pt>
                      <c:pt idx="14">
                        <c:v>-2947954739</c:v>
                      </c:pt>
                      <c:pt idx="15">
                        <c:v>-1854809864</c:v>
                      </c:pt>
                      <c:pt idx="16">
                        <c:v>-3066583378</c:v>
                      </c:pt>
                      <c:pt idx="17">
                        <c:v>-5162042984</c:v>
                      </c:pt>
                      <c:pt idx="18">
                        <c:v>-4359907414</c:v>
                      </c:pt>
                      <c:pt idx="19">
                        <c:v>-2999978365</c:v>
                      </c:pt>
                    </c:numCache>
                  </c:numRef>
                </c:val>
                <c:smooth val="0"/>
                <c:extLst xmlns:c15="http://schemas.microsoft.com/office/drawing/2012/chart">
                  <c:ext xmlns:c16="http://schemas.microsoft.com/office/drawing/2014/chart" uri="{C3380CC4-5D6E-409C-BE32-E72D297353CC}">
                    <c16:uniqueId val="{00000003-81BD-4C25-8782-FC3BC424C914}"/>
                  </c:ext>
                </c:extLst>
              </c15:ser>
            </c15:filteredLineSeries>
          </c:ext>
        </c:extLst>
      </c:lineChart>
      <c:catAx>
        <c:axId val="1809072911"/>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crossAx val="1809069583"/>
        <c:crosses val="autoZero"/>
        <c:auto val="0"/>
        <c:lblAlgn val="ctr"/>
        <c:lblOffset val="100"/>
        <c:noMultiLvlLbl val="0"/>
      </c:catAx>
      <c:valAx>
        <c:axId val="1809069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t" anchorCtr="0"/>
              <a:lstStyle/>
              <a:p>
                <a:pPr>
                  <a:defRPr sz="800" b="0" i="0" u="none" strike="noStrike" kern="1200" baseline="0">
                    <a:solidFill>
                      <a:sysClr val="windowText" lastClr="000000"/>
                    </a:solidFill>
                    <a:latin typeface="Segoe UI" panose="020B0502040204020203" pitchFamily="34" charset="0"/>
                    <a:ea typeface="+mn-ea"/>
                    <a:cs typeface="+mn-cs"/>
                  </a:defRPr>
                </a:pPr>
                <a:r>
                  <a:rPr lang="fr-FR" sz="800" b="0" i="0" u="none" strike="noStrike" baseline="0"/>
                  <a:t>Valeur (€)</a:t>
                </a:r>
                <a:endParaRPr lang="fr-FR" sz="800" i="0"/>
              </a:p>
            </c:rich>
          </c:tx>
          <c:layout>
            <c:manualLayout>
              <c:xMode val="edge"/>
              <c:yMode val="edge"/>
              <c:x val="3.9040246869792926E-2"/>
              <c:y val="0.13905386400078829"/>
            </c:manualLayout>
          </c:layout>
          <c:overlay val="0"/>
          <c:spPr>
            <a:noFill/>
            <a:ln>
              <a:noFill/>
            </a:ln>
            <a:effectLst/>
          </c:spPr>
          <c:txPr>
            <a:bodyPr rot="0" spcFirstLastPara="1" vertOverflow="ellipsis" wrap="square" anchor="t" anchorCtr="0"/>
            <a:lstStyle/>
            <a:p>
              <a:pPr>
                <a:defRPr sz="800" b="0" i="0" u="none" strike="noStrike" kern="1200" baseline="0">
                  <a:solidFill>
                    <a:sysClr val="windowText" lastClr="000000"/>
                  </a:solidFill>
                  <a:latin typeface="Segoe UI" panose="020B0502040204020203" pitchFamily="34" charset="0"/>
                  <a:ea typeface="+mn-ea"/>
                  <a:cs typeface="+mn-cs"/>
                </a:defRPr>
              </a:pPr>
              <a:endParaRPr lang="fr-FR"/>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crossAx val="1809072911"/>
        <c:crossesAt val="1"/>
        <c:crossBetween val="midCat"/>
      </c:valAx>
      <c:spPr>
        <a:noFill/>
        <a:ln>
          <a:noFill/>
        </a:ln>
        <a:effectLst/>
      </c:spPr>
    </c:plotArea>
    <c:legend>
      <c:legendPos val="b"/>
      <c:layout>
        <c:manualLayout>
          <c:xMode val="edge"/>
          <c:yMode val="edge"/>
          <c:x val="0.33122706648587213"/>
          <c:y val="0.91453755793093727"/>
          <c:w val="0.36328034851034197"/>
          <c:h val="6.822989304145389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EF8E8"/>
    </a:solidFill>
    <a:ln w="9525" cap="flat" cmpd="sng" algn="ctr">
      <a:solidFill>
        <a:srgbClr val="002060"/>
      </a:solidFill>
      <a:round/>
    </a:ln>
    <a:effectLst/>
  </c:spPr>
  <c:txPr>
    <a:bodyPr/>
    <a:lstStyle/>
    <a:p>
      <a:pPr>
        <a:defRPr baseline="0">
          <a:solidFill>
            <a:sysClr val="windowText" lastClr="000000"/>
          </a:solidFill>
          <a:latin typeface="Segoe UI" panose="020B0502040204020203" pitchFamily="34" charset="0"/>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r>
              <a:rPr lang="fr-FR" sz="1100" b="1">
                <a:solidFill>
                  <a:schemeClr val="tx1"/>
                </a:solidFill>
              </a:rPr>
              <a:t>Tendance</a:t>
            </a:r>
            <a:r>
              <a:rPr lang="fr-FR" sz="1100" b="1" baseline="0">
                <a:solidFill>
                  <a:schemeClr val="tx1"/>
                </a:solidFill>
              </a:rPr>
              <a:t> des secteurs d'exportation lettons depuis 2020</a:t>
            </a:r>
            <a:endParaRPr lang="fr-FR" sz="11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9.9094113235845521E-2"/>
          <c:y val="0.18615551843898298"/>
          <c:w val="0.86539265925092701"/>
          <c:h val="0.49020151942286683"/>
        </c:manualLayout>
      </c:layout>
      <c:lineChart>
        <c:grouping val="standard"/>
        <c:varyColors val="0"/>
        <c:ser>
          <c:idx val="0"/>
          <c:order val="0"/>
          <c:tx>
            <c:strRef>
              <c:f>exports!$A$2</c:f>
              <c:strCache>
                <c:ptCount val="1"/>
                <c:pt idx="0">
                  <c:v>Bois et produits de bois</c:v>
                </c:pt>
              </c:strCache>
            </c:strRef>
          </c:tx>
          <c:spPr>
            <a:ln w="28575" cap="rnd">
              <a:solidFill>
                <a:srgbClr val="002060"/>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exports!$L$2:$P$2</c:f>
              <c:numCache>
                <c:formatCode>#,##0</c:formatCode>
                <c:ptCount val="5"/>
                <c:pt idx="0">
                  <c:v>2192106028</c:v>
                </c:pt>
                <c:pt idx="1">
                  <c:v>3145850814</c:v>
                </c:pt>
                <c:pt idx="2">
                  <c:v>3673435636</c:v>
                </c:pt>
                <c:pt idx="3">
                  <c:v>2861592697</c:v>
                </c:pt>
                <c:pt idx="4">
                  <c:v>3014591651</c:v>
                </c:pt>
              </c:numCache>
              <c:extLst/>
            </c:numRef>
          </c:val>
          <c:smooth val="0"/>
          <c:extLst>
            <c:ext xmlns:c16="http://schemas.microsoft.com/office/drawing/2014/chart" uri="{C3380CC4-5D6E-409C-BE32-E72D297353CC}">
              <c16:uniqueId val="{00000000-6054-4F05-AAC3-69DEC7C36E09}"/>
            </c:ext>
          </c:extLst>
        </c:ser>
        <c:ser>
          <c:idx val="1"/>
          <c:order val="1"/>
          <c:tx>
            <c:strRef>
              <c:f>exports!$A$3</c:f>
              <c:strCache>
                <c:ptCount val="1"/>
                <c:pt idx="0">
                  <c:v>Machines et matériel électrique et électronique</c:v>
                </c:pt>
              </c:strCache>
            </c:strRef>
          </c:tx>
          <c:spPr>
            <a:ln w="28575" cap="rnd">
              <a:solidFill>
                <a:schemeClr val="accent2"/>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exports!$L$3:$P$3</c:f>
              <c:numCache>
                <c:formatCode>#,##0</c:formatCode>
                <c:ptCount val="5"/>
                <c:pt idx="0">
                  <c:v>2509728816</c:v>
                </c:pt>
                <c:pt idx="1">
                  <c:v>2681547452</c:v>
                </c:pt>
                <c:pt idx="2">
                  <c:v>3041695312</c:v>
                </c:pt>
                <c:pt idx="3">
                  <c:v>3082867530</c:v>
                </c:pt>
                <c:pt idx="4">
                  <c:v>2879517537</c:v>
                </c:pt>
              </c:numCache>
              <c:extLst/>
            </c:numRef>
          </c:val>
          <c:smooth val="0"/>
          <c:extLst>
            <c:ext xmlns:c16="http://schemas.microsoft.com/office/drawing/2014/chart" uri="{C3380CC4-5D6E-409C-BE32-E72D297353CC}">
              <c16:uniqueId val="{00000001-6054-4F05-AAC3-69DEC7C36E09}"/>
            </c:ext>
          </c:extLst>
        </c:ser>
        <c:ser>
          <c:idx val="2"/>
          <c:order val="2"/>
          <c:tx>
            <c:strRef>
              <c:f>exports!$A$4</c:f>
              <c:strCache>
                <c:ptCount val="1"/>
                <c:pt idx="0">
                  <c:v>Boissons et plats préparés</c:v>
                </c:pt>
              </c:strCache>
            </c:strRef>
          </c:tx>
          <c:spPr>
            <a:ln w="28575" cap="rnd">
              <a:solidFill>
                <a:srgbClr val="339966"/>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exports!$L$4:$P$4</c:f>
              <c:numCache>
                <c:formatCode>#,##0</c:formatCode>
                <c:ptCount val="5"/>
                <c:pt idx="0">
                  <c:v>1222774237</c:v>
                </c:pt>
                <c:pt idx="1">
                  <c:v>1213129875</c:v>
                </c:pt>
                <c:pt idx="2">
                  <c:v>1558669799</c:v>
                </c:pt>
                <c:pt idx="3">
                  <c:v>1865991569</c:v>
                </c:pt>
                <c:pt idx="4">
                  <c:v>1966906839</c:v>
                </c:pt>
              </c:numCache>
              <c:extLst/>
            </c:numRef>
          </c:val>
          <c:smooth val="0"/>
          <c:extLst>
            <c:ext xmlns:c16="http://schemas.microsoft.com/office/drawing/2014/chart" uri="{C3380CC4-5D6E-409C-BE32-E72D297353CC}">
              <c16:uniqueId val="{00000002-6054-4F05-AAC3-69DEC7C36E09}"/>
            </c:ext>
          </c:extLst>
        </c:ser>
        <c:ser>
          <c:idx val="3"/>
          <c:order val="3"/>
          <c:tx>
            <c:strRef>
              <c:f>exports!$A$5</c:f>
              <c:strCache>
                <c:ptCount val="1"/>
                <c:pt idx="0">
                  <c:v>Produits de l'industrie chimique</c:v>
                </c:pt>
              </c:strCache>
            </c:strRef>
          </c:tx>
          <c:spPr>
            <a:ln w="28575" cap="rnd">
              <a:solidFill>
                <a:srgbClr val="5B9BD5">
                  <a:lumMod val="75000"/>
                </a:srgbClr>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exports!$L$5:$P$5</c:f>
              <c:numCache>
                <c:formatCode>#,##0</c:formatCode>
                <c:ptCount val="5"/>
                <c:pt idx="0">
                  <c:v>1053135036</c:v>
                </c:pt>
                <c:pt idx="1">
                  <c:v>1424673703</c:v>
                </c:pt>
                <c:pt idx="2">
                  <c:v>1736223354</c:v>
                </c:pt>
                <c:pt idx="3">
                  <c:v>1613731159</c:v>
                </c:pt>
                <c:pt idx="4">
                  <c:v>1686725188</c:v>
                </c:pt>
              </c:numCache>
              <c:extLst/>
            </c:numRef>
          </c:val>
          <c:smooth val="0"/>
          <c:extLst>
            <c:ext xmlns:c16="http://schemas.microsoft.com/office/drawing/2014/chart" uri="{C3380CC4-5D6E-409C-BE32-E72D297353CC}">
              <c16:uniqueId val="{00000003-6054-4F05-AAC3-69DEC7C36E09}"/>
            </c:ext>
          </c:extLst>
        </c:ser>
        <c:ser>
          <c:idx val="4"/>
          <c:order val="4"/>
          <c:tx>
            <c:strRef>
              <c:f>exports!$A$6</c:f>
              <c:strCache>
                <c:ptCount val="1"/>
                <c:pt idx="0">
                  <c:v>Produits minéraux</c:v>
                </c:pt>
              </c:strCache>
            </c:strRef>
          </c:tx>
          <c:spPr>
            <a:ln w="28575" cap="rnd">
              <a:solidFill>
                <a:srgbClr val="C00000"/>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exports!$L$6:$P$6</c:f>
              <c:numCache>
                <c:formatCode>#,##0</c:formatCode>
                <c:ptCount val="5"/>
                <c:pt idx="0">
                  <c:v>540656323</c:v>
                </c:pt>
                <c:pt idx="1">
                  <c:v>1040521970</c:v>
                </c:pt>
                <c:pt idx="2">
                  <c:v>2731572340</c:v>
                </c:pt>
                <c:pt idx="3">
                  <c:v>1483476168</c:v>
                </c:pt>
                <c:pt idx="4">
                  <c:v>1418591701</c:v>
                </c:pt>
              </c:numCache>
              <c:extLst/>
            </c:numRef>
          </c:val>
          <c:smooth val="0"/>
          <c:extLst>
            <c:ext xmlns:c16="http://schemas.microsoft.com/office/drawing/2014/chart" uri="{C3380CC4-5D6E-409C-BE32-E72D297353CC}">
              <c16:uniqueId val="{00000004-6054-4F05-AAC3-69DEC7C36E09}"/>
            </c:ext>
          </c:extLst>
        </c:ser>
        <c:ser>
          <c:idx val="5"/>
          <c:order val="5"/>
          <c:tx>
            <c:strRef>
              <c:f>exports!$A$7</c:f>
              <c:strCache>
                <c:ptCount val="1"/>
                <c:pt idx="0">
                  <c:v>Produits végétaux</c:v>
                </c:pt>
              </c:strCache>
            </c:strRef>
          </c:tx>
          <c:spPr>
            <a:ln w="28575" cap="rnd">
              <a:solidFill>
                <a:srgbClr val="70AD47"/>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exports!$L$7:$P$7</c:f>
              <c:numCache>
                <c:formatCode>#,##0</c:formatCode>
                <c:ptCount val="5"/>
                <c:pt idx="0">
                  <c:v>1174515063</c:v>
                </c:pt>
                <c:pt idx="1">
                  <c:v>1176711657</c:v>
                </c:pt>
                <c:pt idx="2">
                  <c:v>1682238806</c:v>
                </c:pt>
                <c:pt idx="3">
                  <c:v>1468490856</c:v>
                </c:pt>
                <c:pt idx="4">
                  <c:v>1306700902</c:v>
                </c:pt>
              </c:numCache>
              <c:extLst/>
            </c:numRef>
          </c:val>
          <c:smooth val="0"/>
          <c:extLst>
            <c:ext xmlns:c16="http://schemas.microsoft.com/office/drawing/2014/chart" uri="{C3380CC4-5D6E-409C-BE32-E72D297353CC}">
              <c16:uniqueId val="{00000005-6054-4F05-AAC3-69DEC7C36E09}"/>
            </c:ext>
          </c:extLst>
        </c:ser>
        <c:ser>
          <c:idx val="6"/>
          <c:order val="6"/>
          <c:tx>
            <c:strRef>
              <c:f>exports!$A$8</c:f>
              <c:strCache>
                <c:ptCount val="1"/>
                <c:pt idx="0">
                  <c:v>Métaux et produits de métal</c:v>
                </c:pt>
              </c:strCache>
            </c:strRef>
          </c:tx>
          <c:spPr>
            <a:ln w="28575" cap="rnd">
              <a:solidFill>
                <a:schemeClr val="accent5">
                  <a:lumMod val="60000"/>
                  <a:lumOff val="40000"/>
                </a:schemeClr>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exports!$L$8:$P$8</c:f>
              <c:numCache>
                <c:formatCode>#,##0</c:formatCode>
                <c:ptCount val="5"/>
                <c:pt idx="0">
                  <c:v>1097589145</c:v>
                </c:pt>
                <c:pt idx="1">
                  <c:v>1641521215</c:v>
                </c:pt>
                <c:pt idx="2">
                  <c:v>1463198260</c:v>
                </c:pt>
                <c:pt idx="3">
                  <c:v>1234840283</c:v>
                </c:pt>
                <c:pt idx="4">
                  <c:v>1151662290</c:v>
                </c:pt>
              </c:numCache>
              <c:extLst/>
            </c:numRef>
          </c:val>
          <c:smooth val="0"/>
          <c:extLst>
            <c:ext xmlns:c16="http://schemas.microsoft.com/office/drawing/2014/chart" uri="{C3380CC4-5D6E-409C-BE32-E72D297353CC}">
              <c16:uniqueId val="{00000006-6054-4F05-AAC3-69DEC7C36E09}"/>
            </c:ext>
          </c:extLst>
        </c:ser>
        <c:ser>
          <c:idx val="7"/>
          <c:order val="7"/>
          <c:tx>
            <c:strRef>
              <c:f>exports!$A$9</c:f>
              <c:strCache>
                <c:ptCount val="1"/>
                <c:pt idx="0">
                  <c:v>Véhicules de transport</c:v>
                </c:pt>
              </c:strCache>
            </c:strRef>
          </c:tx>
          <c:spPr>
            <a:ln w="28575" cap="rnd">
              <a:solidFill>
                <a:srgbClr val="ED7D31">
                  <a:lumMod val="50000"/>
                </a:srgbClr>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exports!$L$9:$P$9</c:f>
              <c:numCache>
                <c:formatCode>#,##0</c:formatCode>
                <c:ptCount val="5"/>
                <c:pt idx="0">
                  <c:v>693720771</c:v>
                </c:pt>
                <c:pt idx="1">
                  <c:v>762912328</c:v>
                </c:pt>
                <c:pt idx="2">
                  <c:v>985550100</c:v>
                </c:pt>
                <c:pt idx="3">
                  <c:v>1138895871</c:v>
                </c:pt>
                <c:pt idx="4">
                  <c:v>1088976146</c:v>
                </c:pt>
              </c:numCache>
              <c:extLst/>
            </c:numRef>
          </c:val>
          <c:smooth val="0"/>
          <c:extLst>
            <c:ext xmlns:c16="http://schemas.microsoft.com/office/drawing/2014/chart" uri="{C3380CC4-5D6E-409C-BE32-E72D297353CC}">
              <c16:uniqueId val="{00000007-6054-4F05-AAC3-69DEC7C36E09}"/>
            </c:ext>
          </c:extLst>
        </c:ser>
        <c:ser>
          <c:idx val="8"/>
          <c:order val="8"/>
          <c:tx>
            <c:strRef>
              <c:f>exports!$A$10</c:f>
              <c:strCache>
                <c:ptCount val="1"/>
                <c:pt idx="0">
                  <c:v>Animaux et produits animaux</c:v>
                </c:pt>
              </c:strCache>
            </c:strRef>
          </c:tx>
          <c:spPr>
            <a:ln w="28575" cap="rnd">
              <a:solidFill>
                <a:schemeClr val="accent3">
                  <a:lumMod val="60000"/>
                </a:schemeClr>
              </a:solidFill>
              <a:round/>
            </a:ln>
            <a:effectLst/>
          </c:spPr>
          <c:marker>
            <c:symbol val="none"/>
          </c:marker>
          <c:cat>
            <c:numRef>
              <c:f>exports!$L$1:$P$1</c:f>
              <c:numCache>
                <c:formatCode>General</c:formatCode>
                <c:ptCount val="5"/>
                <c:pt idx="0">
                  <c:v>2020</c:v>
                </c:pt>
                <c:pt idx="1">
                  <c:v>2021</c:v>
                </c:pt>
                <c:pt idx="2">
                  <c:v>2022</c:v>
                </c:pt>
                <c:pt idx="3">
                  <c:v>2023</c:v>
                </c:pt>
                <c:pt idx="4">
                  <c:v>2024</c:v>
                </c:pt>
              </c:numCache>
              <c:extLst/>
            </c:numRef>
          </c:cat>
          <c:val>
            <c:numRef>
              <c:f>exports!$L$10:$P$10</c:f>
              <c:numCache>
                <c:formatCode>#,##0</c:formatCode>
                <c:ptCount val="5"/>
                <c:pt idx="0">
                  <c:v>504171697</c:v>
                </c:pt>
                <c:pt idx="1">
                  <c:v>589260909</c:v>
                </c:pt>
                <c:pt idx="2">
                  <c:v>875663843</c:v>
                </c:pt>
                <c:pt idx="3">
                  <c:v>876602162</c:v>
                </c:pt>
                <c:pt idx="4">
                  <c:v>941639328</c:v>
                </c:pt>
              </c:numCache>
              <c:extLst/>
            </c:numRef>
          </c:val>
          <c:smooth val="0"/>
          <c:extLst>
            <c:ext xmlns:c16="http://schemas.microsoft.com/office/drawing/2014/chart" uri="{C3380CC4-5D6E-409C-BE32-E72D297353CC}">
              <c16:uniqueId val="{00000008-6054-4F05-AAC3-69DEC7C36E09}"/>
            </c:ext>
          </c:extLst>
        </c:ser>
        <c:dLbls>
          <c:showLegendKey val="0"/>
          <c:showVal val="0"/>
          <c:showCatName val="0"/>
          <c:showSerName val="0"/>
          <c:showPercent val="0"/>
          <c:showBubbleSize val="0"/>
        </c:dLbls>
        <c:smooth val="0"/>
        <c:axId val="964580143"/>
        <c:axId val="964570575"/>
      </c:lineChart>
      <c:catAx>
        <c:axId val="96458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crossAx val="964570575"/>
        <c:crosses val="autoZero"/>
        <c:auto val="1"/>
        <c:lblAlgn val="ctr"/>
        <c:lblOffset val="1"/>
        <c:noMultiLvlLbl val="0"/>
      </c:catAx>
      <c:valAx>
        <c:axId val="964570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r>
                  <a:rPr lang="fr-FR" sz="900"/>
                  <a:t>Millions d'euros</a:t>
                </a:r>
              </a:p>
            </c:rich>
          </c:tx>
          <c:layout>
            <c:manualLayout>
              <c:xMode val="edge"/>
              <c:yMode val="edge"/>
              <c:x val="4.2328042328042331E-3"/>
              <c:y val="8.7514283104487695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crossAx val="964580143"/>
        <c:crosses val="autoZero"/>
        <c:crossBetween val="midCat"/>
        <c:majorUnit val="1000000000"/>
        <c:dispUnits>
          <c:builtInUnit val="millions"/>
        </c:dispUnits>
      </c:valAx>
      <c:spPr>
        <a:noFill/>
        <a:ln w="25400">
          <a:noFill/>
        </a:ln>
        <a:effectLst/>
      </c:spPr>
    </c:plotArea>
    <c:legend>
      <c:legendPos val="b"/>
      <c:layout>
        <c:manualLayout>
          <c:xMode val="edge"/>
          <c:yMode val="edge"/>
          <c:x val="1.4241732536781702E-2"/>
          <c:y val="0.7711038075065505"/>
          <c:w val="0.98575831757966359"/>
          <c:h val="0.2159794978206955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legend>
    <c:plotVisOnly val="1"/>
    <c:dispBlanksAs val="gap"/>
    <c:showDLblsOverMax val="0"/>
  </c:chart>
  <c:spPr>
    <a:solidFill>
      <a:srgbClr val="FEF8E8"/>
    </a:solidFill>
    <a:ln w="9525" cap="flat" cmpd="sng" algn="ctr">
      <a:solidFill>
        <a:srgbClr val="002060"/>
      </a:solidFill>
      <a:round/>
    </a:ln>
    <a:effectLst/>
  </c:spPr>
  <c:txPr>
    <a:bodyPr/>
    <a:lstStyle/>
    <a:p>
      <a:pPr>
        <a:defRPr baseline="0">
          <a:solidFill>
            <a:sysClr val="windowText" lastClr="000000"/>
          </a:solidFill>
          <a:latin typeface="Segoe UI" panose="020B0502040204020203" pitchFamily="34" charset="0"/>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r>
              <a:rPr lang="fr-FR" sz="1100">
                <a:solidFill>
                  <a:schemeClr val="tx1"/>
                </a:solidFill>
              </a:rPr>
              <a:t>Secteurs d'exportation de la</a:t>
            </a:r>
            <a:r>
              <a:rPr lang="fr-FR" sz="1100" baseline="0">
                <a:solidFill>
                  <a:schemeClr val="tx1"/>
                </a:solidFill>
              </a:rPr>
              <a:t> Lettonie en 2024</a:t>
            </a:r>
            <a:endParaRPr lang="fr-FR" sz="1100">
              <a:solidFill>
                <a:schemeClr val="tx1"/>
              </a:solidFill>
            </a:endParaRPr>
          </a:p>
        </c:rich>
      </c:tx>
      <c:layout>
        <c:manualLayout>
          <c:xMode val="edge"/>
          <c:yMode val="edge"/>
          <c:x val="0.17324998091572066"/>
          <c:y val="4.166666666666666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5.8386655959933899E-2"/>
          <c:y val="0.18323062545262175"/>
          <c:w val="0.39842282662720785"/>
          <c:h val="0.77816965587634901"/>
        </c:manualLayout>
      </c:layout>
      <c:doughnutChart>
        <c:varyColors val="1"/>
        <c:ser>
          <c:idx val="0"/>
          <c:order val="0"/>
          <c:spPr>
            <a:effectLst/>
          </c:spPr>
          <c:dPt>
            <c:idx val="0"/>
            <c:bubble3D val="0"/>
            <c:spPr>
              <a:solidFill>
                <a:srgbClr val="006699"/>
              </a:solidFill>
              <a:ln>
                <a:noFill/>
              </a:ln>
              <a:effectLst/>
            </c:spPr>
            <c:extLst>
              <c:ext xmlns:c16="http://schemas.microsoft.com/office/drawing/2014/chart" uri="{C3380CC4-5D6E-409C-BE32-E72D297353CC}">
                <c16:uniqueId val="{00000001-6404-49C5-82E4-6A2916723FE4}"/>
              </c:ext>
            </c:extLst>
          </c:dPt>
          <c:dPt>
            <c:idx val="1"/>
            <c:bubble3D val="0"/>
            <c:spPr>
              <a:solidFill>
                <a:schemeClr val="accent4">
                  <a:lumMod val="75000"/>
                </a:schemeClr>
              </a:solidFill>
              <a:ln>
                <a:noFill/>
              </a:ln>
              <a:effectLst/>
            </c:spPr>
            <c:extLst>
              <c:ext xmlns:c16="http://schemas.microsoft.com/office/drawing/2014/chart" uri="{C3380CC4-5D6E-409C-BE32-E72D297353CC}">
                <c16:uniqueId val="{00000003-6404-49C5-82E4-6A2916723FE4}"/>
              </c:ext>
            </c:extLst>
          </c:dPt>
          <c:dPt>
            <c:idx val="2"/>
            <c:bubble3D val="0"/>
            <c:spPr>
              <a:solidFill>
                <a:schemeClr val="tx1">
                  <a:lumMod val="65000"/>
                  <a:lumOff val="35000"/>
                </a:schemeClr>
              </a:solidFill>
              <a:ln>
                <a:noFill/>
              </a:ln>
              <a:effectLst/>
            </c:spPr>
            <c:extLst>
              <c:ext xmlns:c16="http://schemas.microsoft.com/office/drawing/2014/chart" uri="{C3380CC4-5D6E-409C-BE32-E72D297353CC}">
                <c16:uniqueId val="{00000005-6404-49C5-82E4-6A2916723FE4}"/>
              </c:ext>
            </c:extLst>
          </c:dPt>
          <c:dPt>
            <c:idx val="3"/>
            <c:bubble3D val="0"/>
            <c:spPr>
              <a:solidFill>
                <a:srgbClr val="339966"/>
              </a:solidFill>
              <a:ln>
                <a:noFill/>
              </a:ln>
              <a:effectLst/>
            </c:spPr>
            <c:extLst>
              <c:ext xmlns:c16="http://schemas.microsoft.com/office/drawing/2014/chart" uri="{C3380CC4-5D6E-409C-BE32-E72D297353CC}">
                <c16:uniqueId val="{00000007-6404-49C5-82E4-6A2916723FE4}"/>
              </c:ext>
            </c:extLst>
          </c:dPt>
          <c:dPt>
            <c:idx val="4"/>
            <c:bubble3D val="0"/>
            <c:spPr>
              <a:solidFill>
                <a:schemeClr val="accent4">
                  <a:lumMod val="75000"/>
                  <a:alpha val="70000"/>
                </a:schemeClr>
              </a:solidFill>
              <a:ln>
                <a:noFill/>
              </a:ln>
              <a:effectLst/>
            </c:spPr>
            <c:extLst>
              <c:ext xmlns:c16="http://schemas.microsoft.com/office/drawing/2014/chart" uri="{C3380CC4-5D6E-409C-BE32-E72D297353CC}">
                <c16:uniqueId val="{00000009-6404-49C5-82E4-6A2916723FE4}"/>
              </c:ext>
            </c:extLst>
          </c:dPt>
          <c:dPt>
            <c:idx val="5"/>
            <c:bubble3D val="0"/>
            <c:spPr>
              <a:solidFill>
                <a:srgbClr val="008080">
                  <a:alpha val="75000"/>
                </a:srgbClr>
              </a:solidFill>
              <a:ln>
                <a:noFill/>
              </a:ln>
              <a:effectLst/>
            </c:spPr>
            <c:extLst>
              <c:ext xmlns:c16="http://schemas.microsoft.com/office/drawing/2014/chart" uri="{C3380CC4-5D6E-409C-BE32-E72D297353CC}">
                <c16:uniqueId val="{0000000B-6404-49C5-82E4-6A2916723FE4}"/>
              </c:ext>
            </c:extLst>
          </c:dPt>
          <c:dPt>
            <c:idx val="6"/>
            <c:bubble3D val="0"/>
            <c:spPr>
              <a:solidFill>
                <a:schemeClr val="bg2">
                  <a:lumMod val="50000"/>
                  <a:alpha val="78000"/>
                </a:schemeClr>
              </a:solidFill>
              <a:ln>
                <a:noFill/>
              </a:ln>
              <a:effectLst/>
            </c:spPr>
            <c:extLst>
              <c:ext xmlns:c16="http://schemas.microsoft.com/office/drawing/2014/chart" uri="{C3380CC4-5D6E-409C-BE32-E72D297353CC}">
                <c16:uniqueId val="{0000000D-6404-49C5-82E4-6A2916723FE4}"/>
              </c:ext>
            </c:extLst>
          </c:dPt>
          <c:dPt>
            <c:idx val="7"/>
            <c:bubble3D val="0"/>
            <c:spPr>
              <a:solidFill>
                <a:srgbClr val="006699">
                  <a:alpha val="80000"/>
                </a:srgbClr>
              </a:solidFill>
              <a:ln>
                <a:noFill/>
              </a:ln>
              <a:effectLst/>
            </c:spPr>
            <c:extLst>
              <c:ext xmlns:c16="http://schemas.microsoft.com/office/drawing/2014/chart" uri="{C3380CC4-5D6E-409C-BE32-E72D297353CC}">
                <c16:uniqueId val="{0000000F-6404-49C5-82E4-6A2916723FE4}"/>
              </c:ext>
            </c:extLst>
          </c:dPt>
          <c:dPt>
            <c:idx val="8"/>
            <c:bubble3D val="0"/>
            <c:spPr>
              <a:solidFill>
                <a:schemeClr val="accent4">
                  <a:alpha val="69000"/>
                </a:schemeClr>
              </a:solidFill>
              <a:ln>
                <a:noFill/>
              </a:ln>
              <a:effectLst/>
            </c:spPr>
            <c:extLst>
              <c:ext xmlns:c16="http://schemas.microsoft.com/office/drawing/2014/chart" uri="{C3380CC4-5D6E-409C-BE32-E72D297353CC}">
                <c16:uniqueId val="{00000011-6404-49C5-82E4-6A2916723FE4}"/>
              </c:ext>
            </c:extLst>
          </c:dPt>
          <c:dPt>
            <c:idx val="9"/>
            <c:bubble3D val="0"/>
            <c:spPr>
              <a:solidFill>
                <a:srgbClr val="339966">
                  <a:alpha val="75000"/>
                </a:srgbClr>
              </a:solidFill>
              <a:ln>
                <a:noFill/>
              </a:ln>
              <a:effectLst/>
            </c:spPr>
            <c:extLst>
              <c:ext xmlns:c16="http://schemas.microsoft.com/office/drawing/2014/chart" uri="{C3380CC4-5D6E-409C-BE32-E72D297353CC}">
                <c16:uniqueId val="{00000013-6404-49C5-82E4-6A2916723FE4}"/>
              </c:ext>
            </c:extLst>
          </c:dPt>
          <c:dPt>
            <c:idx val="10"/>
            <c:bubble3D val="0"/>
            <c:spPr>
              <a:solidFill>
                <a:srgbClr val="006699">
                  <a:alpha val="60000"/>
                </a:srgbClr>
              </a:solidFill>
              <a:ln>
                <a:noFill/>
              </a:ln>
              <a:effectLst/>
            </c:spPr>
            <c:extLst>
              <c:ext xmlns:c16="http://schemas.microsoft.com/office/drawing/2014/chart" uri="{C3380CC4-5D6E-409C-BE32-E72D297353CC}">
                <c16:uniqueId val="{00000015-6404-49C5-82E4-6A2916723FE4}"/>
              </c:ext>
            </c:extLst>
          </c:dPt>
          <c:dPt>
            <c:idx val="11"/>
            <c:bubble3D val="0"/>
            <c:spPr>
              <a:solidFill>
                <a:schemeClr val="bg2">
                  <a:lumMod val="90000"/>
                </a:schemeClr>
              </a:solidFill>
              <a:ln>
                <a:noFill/>
              </a:ln>
              <a:effectLst/>
            </c:spPr>
            <c:extLst>
              <c:ext xmlns:c16="http://schemas.microsoft.com/office/drawing/2014/chart" uri="{C3380CC4-5D6E-409C-BE32-E72D297353CC}">
                <c16:uniqueId val="{00000017-6404-49C5-82E4-6A2916723FE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mn-cs"/>
                  </a:defRPr>
                </a:pPr>
                <a:endParaRPr lang="fr-FR"/>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export_TOTAL_2024!$M$3:$M$14</c:f>
              <c:strCache>
                <c:ptCount val="12"/>
                <c:pt idx="0">
                  <c:v>Bois et produits du bois</c:v>
                </c:pt>
                <c:pt idx="1">
                  <c:v>Machines et matériel électrique et électronique</c:v>
                </c:pt>
                <c:pt idx="2">
                  <c:v>Boissons et plats préparés</c:v>
                </c:pt>
                <c:pt idx="3">
                  <c:v>Produits de l'industrie chimique</c:v>
                </c:pt>
                <c:pt idx="4">
                  <c:v>Produits minéraux</c:v>
                </c:pt>
                <c:pt idx="5">
                  <c:v>Produits végétaux</c:v>
                </c:pt>
                <c:pt idx="6">
                  <c:v>Métaux et produits de métal</c:v>
                </c:pt>
                <c:pt idx="7">
                  <c:v>Véhicule de transport</c:v>
                </c:pt>
                <c:pt idx="8">
                  <c:v>Animaux et produits animaux</c:v>
                </c:pt>
                <c:pt idx="9">
                  <c:v>Industrie du plastique</c:v>
                </c:pt>
                <c:pt idx="10">
                  <c:v>Industrie du textile</c:v>
                </c:pt>
                <c:pt idx="11">
                  <c:v>Autres</c:v>
                </c:pt>
              </c:strCache>
            </c:strRef>
          </c:cat>
          <c:val>
            <c:numRef>
              <c:f>export_TOTAL_2024!$N$3:$N$14</c:f>
              <c:numCache>
                <c:formatCode>0%</c:formatCode>
                <c:ptCount val="12"/>
                <c:pt idx="0">
                  <c:v>0.16137083093367874</c:v>
                </c:pt>
                <c:pt idx="1">
                  <c:v>0.15414032526748681</c:v>
                </c:pt>
                <c:pt idx="2">
                  <c:v>0.10528835335733686</c:v>
                </c:pt>
                <c:pt idx="3">
                  <c:v>9.0290253757597735E-2</c:v>
                </c:pt>
                <c:pt idx="4">
                  <c:v>7.5937091337081639E-2</c:v>
                </c:pt>
                <c:pt idx="5">
                  <c:v>6.9947586522234262E-2</c:v>
                </c:pt>
                <c:pt idx="6">
                  <c:v>6.1648383000939756E-2</c:v>
                </c:pt>
                <c:pt idx="7">
                  <c:v>5.8292799122123977E-2</c:v>
                </c:pt>
                <c:pt idx="8">
                  <c:v>5.0405871969022735E-2</c:v>
                </c:pt>
                <c:pt idx="9">
                  <c:v>3.2075571909141655E-2</c:v>
                </c:pt>
                <c:pt idx="10">
                  <c:v>2.9501566523750772E-2</c:v>
                </c:pt>
                <c:pt idx="11" formatCode="0.00%">
                  <c:v>0.11110136629960507</c:v>
                </c:pt>
              </c:numCache>
            </c:numRef>
          </c:val>
          <c:extLst>
            <c:ext xmlns:c16="http://schemas.microsoft.com/office/drawing/2014/chart" uri="{C3380CC4-5D6E-409C-BE32-E72D297353CC}">
              <c16:uniqueId val="{00000018-6404-49C5-82E4-6A2916723FE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layout>
        <c:manualLayout>
          <c:xMode val="edge"/>
          <c:yMode val="edge"/>
          <c:x val="0.47690236305742806"/>
          <c:y val="0.19432121467755939"/>
          <c:w val="0.49708574573213121"/>
          <c:h val="0.7395986496452341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mn-cs"/>
            </a:defRPr>
          </a:pPr>
          <a:endParaRPr lang="fr-FR"/>
        </a:p>
      </c:txPr>
    </c:legend>
    <c:plotVisOnly val="1"/>
    <c:dispBlanksAs val="gap"/>
    <c:showDLblsOverMax val="0"/>
    <c:extLst/>
  </c:chart>
  <c:spPr>
    <a:solidFill>
      <a:srgbClr val="FEF8E8"/>
    </a:solidFill>
    <a:ln w="9525" cap="flat" cmpd="sng" algn="ctr">
      <a:solidFill>
        <a:srgbClr val="002060"/>
      </a:solidFill>
      <a:round/>
    </a:ln>
    <a:effectLst/>
  </c:spPr>
  <c:txPr>
    <a:bodyPr/>
    <a:lstStyle/>
    <a:p>
      <a:pPr>
        <a:defRPr baseline="0">
          <a:latin typeface="Segoe UI" panose="020B0502040204020203" pitchFamily="34" charset="0"/>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r>
              <a:rPr lang="fr-FR" sz="1100" b="1"/>
              <a:t>Tendance des secteurs d'importation lettons depuis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0.11107172609724389"/>
          <c:y val="0.17076430655672847"/>
          <c:w val="0.85987850985185899"/>
          <c:h val="0.49927637299548888"/>
        </c:manualLayout>
      </c:layout>
      <c:lineChart>
        <c:grouping val="standard"/>
        <c:varyColors val="0"/>
        <c:ser>
          <c:idx val="0"/>
          <c:order val="0"/>
          <c:tx>
            <c:strRef>
              <c:f>imports!$A$2</c:f>
              <c:strCache>
                <c:ptCount val="1"/>
                <c:pt idx="0">
                  <c:v>Machines, matériel électrique et électronique</c:v>
                </c:pt>
              </c:strCache>
            </c:strRef>
          </c:tx>
          <c:spPr>
            <a:ln w="28575" cap="rnd">
              <a:solidFill>
                <a:schemeClr val="accent2"/>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imports!$L$2:$P$2</c:f>
              <c:numCache>
                <c:formatCode>#,##0</c:formatCode>
                <c:ptCount val="5"/>
                <c:pt idx="0">
                  <c:v>3411936309</c:v>
                </c:pt>
                <c:pt idx="1">
                  <c:v>3935219845</c:v>
                </c:pt>
                <c:pt idx="2">
                  <c:v>4580828487</c:v>
                </c:pt>
                <c:pt idx="3">
                  <c:v>4486931133</c:v>
                </c:pt>
                <c:pt idx="4">
                  <c:v>4021983593</c:v>
                </c:pt>
              </c:numCache>
              <c:extLst/>
            </c:numRef>
          </c:val>
          <c:smooth val="0"/>
          <c:extLst>
            <c:ext xmlns:c16="http://schemas.microsoft.com/office/drawing/2014/chart" uri="{C3380CC4-5D6E-409C-BE32-E72D297353CC}">
              <c16:uniqueId val="{00000000-E491-4BF4-B685-B815D336BBF5}"/>
            </c:ext>
          </c:extLst>
        </c:ser>
        <c:ser>
          <c:idx val="1"/>
          <c:order val="1"/>
          <c:tx>
            <c:strRef>
              <c:f>imports!$A$3</c:f>
              <c:strCache>
                <c:ptCount val="1"/>
                <c:pt idx="0">
                  <c:v>Produits de l'industrie chimique</c:v>
                </c:pt>
              </c:strCache>
            </c:strRef>
          </c:tx>
          <c:spPr>
            <a:ln w="28575" cap="rnd">
              <a:solidFill>
                <a:schemeClr val="accent5">
                  <a:lumMod val="75000"/>
                </a:schemeClr>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imports!$L$3:$P$3</c:f>
              <c:numCache>
                <c:formatCode>#,##0</c:formatCode>
                <c:ptCount val="5"/>
                <c:pt idx="0">
                  <c:v>1629497580</c:v>
                </c:pt>
                <c:pt idx="1">
                  <c:v>2078979615</c:v>
                </c:pt>
                <c:pt idx="2">
                  <c:v>2587736937</c:v>
                </c:pt>
                <c:pt idx="3">
                  <c:v>2370256711</c:v>
                </c:pt>
                <c:pt idx="4">
                  <c:v>2478265790</c:v>
                </c:pt>
              </c:numCache>
              <c:extLst/>
            </c:numRef>
          </c:val>
          <c:smooth val="0"/>
          <c:extLst>
            <c:ext xmlns:c16="http://schemas.microsoft.com/office/drawing/2014/chart" uri="{C3380CC4-5D6E-409C-BE32-E72D297353CC}">
              <c16:uniqueId val="{00000001-E491-4BF4-B685-B815D336BBF5}"/>
            </c:ext>
          </c:extLst>
        </c:ser>
        <c:ser>
          <c:idx val="2"/>
          <c:order val="2"/>
          <c:tx>
            <c:strRef>
              <c:f>imports!$A$4</c:f>
              <c:strCache>
                <c:ptCount val="1"/>
                <c:pt idx="0">
                  <c:v>Produits minéraux</c:v>
                </c:pt>
              </c:strCache>
            </c:strRef>
          </c:tx>
          <c:spPr>
            <a:ln w="28575" cap="rnd">
              <a:solidFill>
                <a:srgbClr val="C00000"/>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imports!$L$4:$P$4</c:f>
              <c:numCache>
                <c:formatCode>#,##0</c:formatCode>
                <c:ptCount val="5"/>
                <c:pt idx="0">
                  <c:v>1000909848</c:v>
                </c:pt>
                <c:pt idx="1">
                  <c:v>1883638265</c:v>
                </c:pt>
                <c:pt idx="2">
                  <c:v>5549134951</c:v>
                </c:pt>
                <c:pt idx="3">
                  <c:v>2810145879</c:v>
                </c:pt>
                <c:pt idx="4">
                  <c:v>2469960049</c:v>
                </c:pt>
              </c:numCache>
              <c:extLst/>
            </c:numRef>
          </c:val>
          <c:smooth val="0"/>
          <c:extLst>
            <c:ext xmlns:c16="http://schemas.microsoft.com/office/drawing/2014/chart" uri="{C3380CC4-5D6E-409C-BE32-E72D297353CC}">
              <c16:uniqueId val="{00000002-E491-4BF4-B685-B815D336BBF5}"/>
            </c:ext>
          </c:extLst>
        </c:ser>
        <c:ser>
          <c:idx val="3"/>
          <c:order val="3"/>
          <c:tx>
            <c:strRef>
              <c:f>imports!$A$5</c:f>
              <c:strCache>
                <c:ptCount val="1"/>
                <c:pt idx="0">
                  <c:v>Boissons et plats préparés</c:v>
                </c:pt>
              </c:strCache>
            </c:strRef>
          </c:tx>
          <c:spPr>
            <a:ln w="28575" cap="rnd">
              <a:solidFill>
                <a:srgbClr val="339966"/>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imports!$L$5:$P$5</c:f>
              <c:numCache>
                <c:formatCode>#,##0</c:formatCode>
                <c:ptCount val="5"/>
                <c:pt idx="0">
                  <c:v>1457184062</c:v>
                </c:pt>
                <c:pt idx="1">
                  <c:v>1428688086</c:v>
                </c:pt>
                <c:pt idx="2">
                  <c:v>1888669667</c:v>
                </c:pt>
                <c:pt idx="3">
                  <c:v>2221868367</c:v>
                </c:pt>
                <c:pt idx="4">
                  <c:v>2229865170</c:v>
                </c:pt>
              </c:numCache>
              <c:extLst/>
            </c:numRef>
          </c:val>
          <c:smooth val="0"/>
          <c:extLst>
            <c:ext xmlns:c16="http://schemas.microsoft.com/office/drawing/2014/chart" uri="{C3380CC4-5D6E-409C-BE32-E72D297353CC}">
              <c16:uniqueId val="{00000003-E491-4BF4-B685-B815D336BBF5}"/>
            </c:ext>
          </c:extLst>
        </c:ser>
        <c:ser>
          <c:idx val="4"/>
          <c:order val="4"/>
          <c:tx>
            <c:strRef>
              <c:f>imports!$A$6</c:f>
              <c:strCache>
                <c:ptCount val="1"/>
                <c:pt idx="0">
                  <c:v>Véhicules de transport</c:v>
                </c:pt>
              </c:strCache>
            </c:strRef>
          </c:tx>
          <c:spPr>
            <a:ln w="28575" cap="rnd">
              <a:solidFill>
                <a:schemeClr val="accent2">
                  <a:lumMod val="50000"/>
                </a:schemeClr>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imports!$L$6:$P$6</c:f>
              <c:numCache>
                <c:formatCode>#,##0</c:formatCode>
                <c:ptCount val="5"/>
                <c:pt idx="0">
                  <c:v>1374697934</c:v>
                </c:pt>
                <c:pt idx="1">
                  <c:v>2128855510</c:v>
                </c:pt>
                <c:pt idx="2">
                  <c:v>2619340731</c:v>
                </c:pt>
                <c:pt idx="3">
                  <c:v>3080087351</c:v>
                </c:pt>
                <c:pt idx="4">
                  <c:v>2201296836</c:v>
                </c:pt>
              </c:numCache>
              <c:extLst/>
            </c:numRef>
          </c:val>
          <c:smooth val="0"/>
          <c:extLst>
            <c:ext xmlns:c16="http://schemas.microsoft.com/office/drawing/2014/chart" uri="{C3380CC4-5D6E-409C-BE32-E72D297353CC}">
              <c16:uniqueId val="{00000004-E491-4BF4-B685-B815D336BBF5}"/>
            </c:ext>
          </c:extLst>
        </c:ser>
        <c:ser>
          <c:idx val="5"/>
          <c:order val="5"/>
          <c:tx>
            <c:strRef>
              <c:f>imports!$A$7</c:f>
              <c:strCache>
                <c:ptCount val="1"/>
                <c:pt idx="0">
                  <c:v>Métaux et produits de métal</c:v>
                </c:pt>
              </c:strCache>
            </c:strRef>
          </c:tx>
          <c:spPr>
            <a:ln w="28575" cap="rnd">
              <a:solidFill>
                <a:schemeClr val="accent5">
                  <a:lumMod val="60000"/>
                  <a:lumOff val="40000"/>
                </a:schemeClr>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imports!$L$7:$P$7</c:f>
              <c:numCache>
                <c:formatCode>#,##0</c:formatCode>
                <c:ptCount val="5"/>
                <c:pt idx="0">
                  <c:v>1187381182</c:v>
                </c:pt>
                <c:pt idx="1">
                  <c:v>1850027466</c:v>
                </c:pt>
                <c:pt idx="2">
                  <c:v>1806323842</c:v>
                </c:pt>
                <c:pt idx="3">
                  <c:v>1479565558</c:v>
                </c:pt>
                <c:pt idx="4">
                  <c:v>1411083207</c:v>
                </c:pt>
              </c:numCache>
              <c:extLst/>
            </c:numRef>
          </c:val>
          <c:smooth val="0"/>
          <c:extLst>
            <c:ext xmlns:c16="http://schemas.microsoft.com/office/drawing/2014/chart" uri="{C3380CC4-5D6E-409C-BE32-E72D297353CC}">
              <c16:uniqueId val="{00000005-E491-4BF4-B685-B815D336BBF5}"/>
            </c:ext>
          </c:extLst>
        </c:ser>
        <c:ser>
          <c:idx val="6"/>
          <c:order val="6"/>
          <c:tx>
            <c:strRef>
              <c:f>imports!$A$8</c:f>
              <c:strCache>
                <c:ptCount val="1"/>
                <c:pt idx="0">
                  <c:v>Industrie du plastique</c:v>
                </c:pt>
              </c:strCache>
            </c:strRef>
          </c:tx>
          <c:spPr>
            <a:ln w="28575" cap="rnd">
              <a:solidFill>
                <a:schemeClr val="accent2">
                  <a:lumMod val="75000"/>
                </a:schemeClr>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imports!$L$8:$P$8</c:f>
              <c:numCache>
                <c:formatCode>#,##0</c:formatCode>
                <c:ptCount val="5"/>
                <c:pt idx="0">
                  <c:v>861849041</c:v>
                </c:pt>
                <c:pt idx="1">
                  <c:v>1115537430</c:v>
                </c:pt>
                <c:pt idx="2">
                  <c:v>1295100177</c:v>
                </c:pt>
                <c:pt idx="3">
                  <c:v>1104129398</c:v>
                </c:pt>
                <c:pt idx="4">
                  <c:v>1101215989</c:v>
                </c:pt>
              </c:numCache>
              <c:extLst/>
            </c:numRef>
          </c:val>
          <c:smooth val="0"/>
          <c:extLst>
            <c:ext xmlns:c16="http://schemas.microsoft.com/office/drawing/2014/chart" uri="{C3380CC4-5D6E-409C-BE32-E72D297353CC}">
              <c16:uniqueId val="{00000006-E491-4BF4-B685-B815D336BBF5}"/>
            </c:ext>
          </c:extLst>
        </c:ser>
        <c:ser>
          <c:idx val="8"/>
          <c:order val="7"/>
          <c:tx>
            <c:strRef>
              <c:f>imports!$A$10</c:f>
              <c:strCache>
                <c:ptCount val="1"/>
                <c:pt idx="0">
                  <c:v>Animaux et produits animaux</c:v>
                </c:pt>
              </c:strCache>
            </c:strRef>
          </c:tx>
          <c:spPr>
            <a:ln w="28575" cap="rnd">
              <a:solidFill>
                <a:schemeClr val="accent3">
                  <a:lumMod val="60000"/>
                </a:schemeClr>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imports!$L$10:$P$10</c:f>
              <c:numCache>
                <c:formatCode>#,##0</c:formatCode>
                <c:ptCount val="5"/>
                <c:pt idx="0">
                  <c:v>514486649</c:v>
                </c:pt>
                <c:pt idx="1">
                  <c:v>591292616</c:v>
                </c:pt>
                <c:pt idx="2">
                  <c:v>793395359</c:v>
                </c:pt>
                <c:pt idx="3">
                  <c:v>861753197</c:v>
                </c:pt>
                <c:pt idx="4">
                  <c:v>905465089</c:v>
                </c:pt>
              </c:numCache>
              <c:extLst/>
            </c:numRef>
          </c:val>
          <c:smooth val="0"/>
          <c:extLst>
            <c:ext xmlns:c16="http://schemas.microsoft.com/office/drawing/2014/chart" uri="{C3380CC4-5D6E-409C-BE32-E72D297353CC}">
              <c16:uniqueId val="{00000007-E491-4BF4-B685-B815D336BBF5}"/>
            </c:ext>
          </c:extLst>
        </c:ser>
        <c:ser>
          <c:idx val="10"/>
          <c:order val="8"/>
          <c:tx>
            <c:strRef>
              <c:f>imports!$A$12</c:f>
              <c:strCache>
                <c:ptCount val="1"/>
                <c:pt idx="0">
                  <c:v>Bois et produits du bois</c:v>
                </c:pt>
              </c:strCache>
            </c:strRef>
          </c:tx>
          <c:spPr>
            <a:ln w="28575" cap="rnd">
              <a:solidFill>
                <a:srgbClr val="002060"/>
              </a:solidFill>
              <a:round/>
            </a:ln>
            <a:effectLst/>
          </c:spPr>
          <c:marker>
            <c:symbol val="none"/>
          </c:marker>
          <c:cat>
            <c:numRef>
              <c:f>imports!$L$1:$P$1</c:f>
              <c:numCache>
                <c:formatCode>General</c:formatCode>
                <c:ptCount val="5"/>
                <c:pt idx="0">
                  <c:v>2020</c:v>
                </c:pt>
                <c:pt idx="1">
                  <c:v>2021</c:v>
                </c:pt>
                <c:pt idx="2">
                  <c:v>2022</c:v>
                </c:pt>
                <c:pt idx="3">
                  <c:v>2023</c:v>
                </c:pt>
                <c:pt idx="4">
                  <c:v>2024</c:v>
                </c:pt>
              </c:numCache>
              <c:extLst/>
            </c:numRef>
          </c:cat>
          <c:val>
            <c:numRef>
              <c:f>imports!$L$12:$P$12</c:f>
              <c:numCache>
                <c:formatCode>#,##0</c:formatCode>
                <c:ptCount val="5"/>
                <c:pt idx="0">
                  <c:v>587740300</c:v>
                </c:pt>
                <c:pt idx="1">
                  <c:v>940199762</c:v>
                </c:pt>
                <c:pt idx="2">
                  <c:v>901942084</c:v>
                </c:pt>
                <c:pt idx="3">
                  <c:v>569098909</c:v>
                </c:pt>
                <c:pt idx="4">
                  <c:v>553964229</c:v>
                </c:pt>
              </c:numCache>
              <c:extLst/>
            </c:numRef>
          </c:val>
          <c:smooth val="0"/>
          <c:extLst>
            <c:ext xmlns:c16="http://schemas.microsoft.com/office/drawing/2014/chart" uri="{C3380CC4-5D6E-409C-BE32-E72D297353CC}">
              <c16:uniqueId val="{00000008-E491-4BF4-B685-B815D336BBF5}"/>
            </c:ext>
          </c:extLst>
        </c:ser>
        <c:dLbls>
          <c:showLegendKey val="0"/>
          <c:showVal val="0"/>
          <c:showCatName val="0"/>
          <c:showSerName val="0"/>
          <c:showPercent val="0"/>
          <c:showBubbleSize val="0"/>
        </c:dLbls>
        <c:smooth val="0"/>
        <c:axId val="964580143"/>
        <c:axId val="964570575"/>
      </c:lineChart>
      <c:catAx>
        <c:axId val="96458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Segoe UI" panose="020B0502040204020203" pitchFamily="34" charset="0"/>
                <a:ea typeface="+mn-ea"/>
                <a:cs typeface="+mn-cs"/>
              </a:defRPr>
            </a:pPr>
            <a:endParaRPr lang="fr-FR"/>
          </a:p>
        </c:txPr>
        <c:crossAx val="964570575"/>
        <c:crosses val="autoZero"/>
        <c:auto val="1"/>
        <c:lblAlgn val="ctr"/>
        <c:lblOffset val="1"/>
        <c:noMultiLvlLbl val="0"/>
      </c:catAx>
      <c:valAx>
        <c:axId val="964570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r>
                  <a:rPr lang="fr-FR"/>
                  <a:t>Millions d'euros</a:t>
                </a:r>
              </a:p>
            </c:rich>
          </c:tx>
          <c:layout>
            <c:manualLayout>
              <c:xMode val="edge"/>
              <c:yMode val="edge"/>
              <c:x val="1.9147720039112665E-2"/>
              <c:y val="7.292221011416182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crossAx val="964580143"/>
        <c:crosses val="autoZero"/>
        <c:crossBetween val="midCat"/>
        <c:dispUnits>
          <c:builtInUnit val="millions"/>
        </c:dispUnits>
      </c:valAx>
      <c:spPr>
        <a:noFill/>
        <a:ln>
          <a:noFill/>
        </a:ln>
        <a:effectLst/>
      </c:spPr>
    </c:plotArea>
    <c:legend>
      <c:legendPos val="b"/>
      <c:layout>
        <c:manualLayout>
          <c:xMode val="edge"/>
          <c:yMode val="edge"/>
          <c:x val="0"/>
          <c:y val="0.76080168386302405"/>
          <c:w val="1"/>
          <c:h val="0.2239312735218970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legend>
    <c:plotVisOnly val="1"/>
    <c:dispBlanksAs val="gap"/>
    <c:showDLblsOverMax val="0"/>
  </c:chart>
  <c:spPr>
    <a:solidFill>
      <a:srgbClr val="FEF8E8"/>
    </a:solidFill>
    <a:ln w="9525" cap="flat" cmpd="sng" algn="ctr">
      <a:solidFill>
        <a:srgbClr val="002060"/>
      </a:solidFill>
      <a:round/>
    </a:ln>
    <a:effectLst/>
  </c:spPr>
  <c:txPr>
    <a:bodyPr/>
    <a:lstStyle/>
    <a:p>
      <a:pPr>
        <a:defRPr baseline="0">
          <a:solidFill>
            <a:sysClr val="windowText" lastClr="000000"/>
          </a:solidFill>
          <a:latin typeface="Segoe UI" panose="020B0502040204020203" pitchFamily="34" charset="0"/>
        </a:defRPr>
      </a:pPr>
      <a:endParaRPr lang="fr-F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r>
              <a:rPr lang="fr-FR" sz="1100" b="1">
                <a:solidFill>
                  <a:schemeClr val="tx1"/>
                </a:solidFill>
              </a:rPr>
              <a:t>Secteur d'importation de la Lettonie en 2024</a:t>
            </a:r>
          </a:p>
        </c:rich>
      </c:tx>
      <c:layout>
        <c:manualLayout>
          <c:xMode val="edge"/>
          <c:yMode val="edge"/>
          <c:x val="0.15665740175408821"/>
          <c:y val="4.537521191474461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0.11106849204980571"/>
          <c:y val="0.18760676795944564"/>
          <c:w val="0.39789060760345635"/>
          <c:h val="0.76394346909943056"/>
        </c:manualLayout>
      </c:layout>
      <c:doughnutChart>
        <c:varyColors val="1"/>
        <c:ser>
          <c:idx val="0"/>
          <c:order val="0"/>
          <c:spPr>
            <a:effectLst/>
          </c:spPr>
          <c:dPt>
            <c:idx val="0"/>
            <c:bubble3D val="0"/>
            <c:spPr>
              <a:solidFill>
                <a:srgbClr val="006699"/>
              </a:solidFill>
              <a:ln>
                <a:noFill/>
              </a:ln>
              <a:effectLst/>
            </c:spPr>
            <c:extLst>
              <c:ext xmlns:c16="http://schemas.microsoft.com/office/drawing/2014/chart" uri="{C3380CC4-5D6E-409C-BE32-E72D297353CC}">
                <c16:uniqueId val="{00000001-D988-4262-B4B3-5AF4AB119D54}"/>
              </c:ext>
            </c:extLst>
          </c:dPt>
          <c:dPt>
            <c:idx val="1"/>
            <c:bubble3D val="0"/>
            <c:spPr>
              <a:solidFill>
                <a:schemeClr val="accent4">
                  <a:lumMod val="75000"/>
                </a:schemeClr>
              </a:solidFill>
              <a:ln>
                <a:noFill/>
              </a:ln>
              <a:effectLst/>
            </c:spPr>
            <c:extLst>
              <c:ext xmlns:c16="http://schemas.microsoft.com/office/drawing/2014/chart" uri="{C3380CC4-5D6E-409C-BE32-E72D297353CC}">
                <c16:uniqueId val="{00000003-D988-4262-B4B3-5AF4AB119D54}"/>
              </c:ext>
            </c:extLst>
          </c:dPt>
          <c:dPt>
            <c:idx val="2"/>
            <c:bubble3D val="0"/>
            <c:spPr>
              <a:solidFill>
                <a:schemeClr val="tx1">
                  <a:lumMod val="65000"/>
                  <a:lumOff val="35000"/>
                </a:schemeClr>
              </a:solidFill>
              <a:ln>
                <a:noFill/>
              </a:ln>
              <a:effectLst/>
            </c:spPr>
            <c:extLst>
              <c:ext xmlns:c16="http://schemas.microsoft.com/office/drawing/2014/chart" uri="{C3380CC4-5D6E-409C-BE32-E72D297353CC}">
                <c16:uniqueId val="{00000005-D988-4262-B4B3-5AF4AB119D54}"/>
              </c:ext>
            </c:extLst>
          </c:dPt>
          <c:dPt>
            <c:idx val="3"/>
            <c:bubble3D val="0"/>
            <c:spPr>
              <a:solidFill>
                <a:srgbClr val="339966"/>
              </a:solidFill>
              <a:ln>
                <a:noFill/>
              </a:ln>
              <a:effectLst/>
            </c:spPr>
            <c:extLst>
              <c:ext xmlns:c16="http://schemas.microsoft.com/office/drawing/2014/chart" uri="{C3380CC4-5D6E-409C-BE32-E72D297353CC}">
                <c16:uniqueId val="{00000007-D988-4262-B4B3-5AF4AB119D54}"/>
              </c:ext>
            </c:extLst>
          </c:dPt>
          <c:dPt>
            <c:idx val="4"/>
            <c:bubble3D val="0"/>
            <c:spPr>
              <a:solidFill>
                <a:schemeClr val="accent4">
                  <a:lumMod val="75000"/>
                  <a:alpha val="70000"/>
                </a:schemeClr>
              </a:solidFill>
              <a:ln>
                <a:noFill/>
              </a:ln>
              <a:effectLst/>
            </c:spPr>
            <c:extLst>
              <c:ext xmlns:c16="http://schemas.microsoft.com/office/drawing/2014/chart" uri="{C3380CC4-5D6E-409C-BE32-E72D297353CC}">
                <c16:uniqueId val="{00000009-D988-4262-B4B3-5AF4AB119D54}"/>
              </c:ext>
            </c:extLst>
          </c:dPt>
          <c:dPt>
            <c:idx val="5"/>
            <c:bubble3D val="0"/>
            <c:spPr>
              <a:solidFill>
                <a:srgbClr val="008080">
                  <a:alpha val="75000"/>
                </a:srgbClr>
              </a:solidFill>
              <a:ln>
                <a:noFill/>
              </a:ln>
              <a:effectLst/>
            </c:spPr>
            <c:extLst>
              <c:ext xmlns:c16="http://schemas.microsoft.com/office/drawing/2014/chart" uri="{C3380CC4-5D6E-409C-BE32-E72D297353CC}">
                <c16:uniqueId val="{0000000B-D988-4262-B4B3-5AF4AB119D54}"/>
              </c:ext>
            </c:extLst>
          </c:dPt>
          <c:dPt>
            <c:idx val="6"/>
            <c:bubble3D val="0"/>
            <c:spPr>
              <a:solidFill>
                <a:schemeClr val="bg2">
                  <a:lumMod val="50000"/>
                  <a:alpha val="78000"/>
                </a:schemeClr>
              </a:solidFill>
              <a:ln>
                <a:noFill/>
              </a:ln>
              <a:effectLst/>
            </c:spPr>
            <c:extLst>
              <c:ext xmlns:c16="http://schemas.microsoft.com/office/drawing/2014/chart" uri="{C3380CC4-5D6E-409C-BE32-E72D297353CC}">
                <c16:uniqueId val="{0000000D-D988-4262-B4B3-5AF4AB119D54}"/>
              </c:ext>
            </c:extLst>
          </c:dPt>
          <c:dPt>
            <c:idx val="7"/>
            <c:bubble3D val="0"/>
            <c:spPr>
              <a:solidFill>
                <a:srgbClr val="006699">
                  <a:alpha val="80000"/>
                </a:srgbClr>
              </a:solidFill>
              <a:ln>
                <a:noFill/>
              </a:ln>
              <a:effectLst/>
            </c:spPr>
            <c:extLst>
              <c:ext xmlns:c16="http://schemas.microsoft.com/office/drawing/2014/chart" uri="{C3380CC4-5D6E-409C-BE32-E72D297353CC}">
                <c16:uniqueId val="{0000000F-D988-4262-B4B3-5AF4AB119D54}"/>
              </c:ext>
            </c:extLst>
          </c:dPt>
          <c:dPt>
            <c:idx val="8"/>
            <c:bubble3D val="0"/>
            <c:spPr>
              <a:solidFill>
                <a:schemeClr val="accent4">
                  <a:alpha val="69000"/>
                </a:schemeClr>
              </a:solidFill>
              <a:ln>
                <a:noFill/>
              </a:ln>
              <a:effectLst/>
            </c:spPr>
            <c:extLst>
              <c:ext xmlns:c16="http://schemas.microsoft.com/office/drawing/2014/chart" uri="{C3380CC4-5D6E-409C-BE32-E72D297353CC}">
                <c16:uniqueId val="{00000011-D988-4262-B4B3-5AF4AB119D54}"/>
              </c:ext>
            </c:extLst>
          </c:dPt>
          <c:dPt>
            <c:idx val="9"/>
            <c:bubble3D val="0"/>
            <c:spPr>
              <a:solidFill>
                <a:srgbClr val="339966">
                  <a:alpha val="75000"/>
                </a:srgbClr>
              </a:solidFill>
              <a:ln>
                <a:noFill/>
              </a:ln>
              <a:effectLst/>
            </c:spPr>
            <c:extLst>
              <c:ext xmlns:c16="http://schemas.microsoft.com/office/drawing/2014/chart" uri="{C3380CC4-5D6E-409C-BE32-E72D297353CC}">
                <c16:uniqueId val="{00000013-D988-4262-B4B3-5AF4AB119D54}"/>
              </c:ext>
            </c:extLst>
          </c:dPt>
          <c:dPt>
            <c:idx val="10"/>
            <c:bubble3D val="0"/>
            <c:spPr>
              <a:solidFill>
                <a:srgbClr val="006699">
                  <a:alpha val="60000"/>
                </a:srgbClr>
              </a:solidFill>
              <a:ln>
                <a:noFill/>
              </a:ln>
              <a:effectLst/>
            </c:spPr>
            <c:extLst>
              <c:ext xmlns:c16="http://schemas.microsoft.com/office/drawing/2014/chart" uri="{C3380CC4-5D6E-409C-BE32-E72D297353CC}">
                <c16:uniqueId val="{00000015-D988-4262-B4B3-5AF4AB119D54}"/>
              </c:ext>
            </c:extLst>
          </c:dPt>
          <c:dPt>
            <c:idx val="11"/>
            <c:bubble3D val="0"/>
            <c:spPr>
              <a:solidFill>
                <a:schemeClr val="bg2">
                  <a:lumMod val="90000"/>
                </a:schemeClr>
              </a:solidFill>
              <a:ln>
                <a:noFill/>
              </a:ln>
              <a:effectLst/>
            </c:spPr>
            <c:extLst>
              <c:ext xmlns:c16="http://schemas.microsoft.com/office/drawing/2014/chart" uri="{C3380CC4-5D6E-409C-BE32-E72D297353CC}">
                <c16:uniqueId val="{00000017-D988-4262-B4B3-5AF4AB119D5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mn-cs"/>
                  </a:defRPr>
                </a:pPr>
                <a:endParaRPr lang="fr-FR"/>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import_TOTAL_2024!$N$3:$N$14</c:f>
              <c:strCache>
                <c:ptCount val="12"/>
                <c:pt idx="0">
                  <c:v>Machines, matériel électrique et électronique</c:v>
                </c:pt>
                <c:pt idx="1">
                  <c:v>Produits de l'industrie chimique</c:v>
                </c:pt>
                <c:pt idx="2">
                  <c:v>Produits minéraux</c:v>
                </c:pt>
                <c:pt idx="3">
                  <c:v>Boissons et plats préparés</c:v>
                </c:pt>
                <c:pt idx="4">
                  <c:v>Véhicules de transport</c:v>
                </c:pt>
                <c:pt idx="5">
                  <c:v>Métaux et produits de métal</c:v>
                </c:pt>
                <c:pt idx="6">
                  <c:v>Industrie du plastique</c:v>
                </c:pt>
                <c:pt idx="7">
                  <c:v>Produits végétaux</c:v>
                </c:pt>
                <c:pt idx="8">
                  <c:v>Animaux et produits animaux</c:v>
                </c:pt>
                <c:pt idx="9">
                  <c:v>Industrie du textile</c:v>
                </c:pt>
                <c:pt idx="10">
                  <c:v>Bois et produits du bois</c:v>
                </c:pt>
                <c:pt idx="11">
                  <c:v>Autres</c:v>
                </c:pt>
              </c:strCache>
            </c:strRef>
          </c:cat>
          <c:val>
            <c:numRef>
              <c:f>import_TOTAL_2024!$O$3:$O$14</c:f>
              <c:numCache>
                <c:formatCode>0.00%</c:formatCode>
                <c:ptCount val="12"/>
                <c:pt idx="0">
                  <c:v>0.18550624899339993</c:v>
                </c:pt>
                <c:pt idx="1">
                  <c:v>0.11430523772192946</c:v>
                </c:pt>
                <c:pt idx="2">
                  <c:v>0.11392215141081116</c:v>
                </c:pt>
                <c:pt idx="3">
                  <c:v>0.1028482374139138</c:v>
                </c:pt>
                <c:pt idx="4">
                  <c:v>0.10153057801581128</c:v>
                </c:pt>
                <c:pt idx="5">
                  <c:v>6.5083495915729678E-2</c:v>
                </c:pt>
                <c:pt idx="6">
                  <c:v>5.079146712743618E-2</c:v>
                </c:pt>
                <c:pt idx="7">
                  <c:v>4.7968606144833087E-2</c:v>
                </c:pt>
                <c:pt idx="8">
                  <c:v>4.1762833778637203E-2</c:v>
                </c:pt>
                <c:pt idx="9">
                  <c:v>3.6092517237418097E-2</c:v>
                </c:pt>
                <c:pt idx="10">
                  <c:v>2.5550533417680907E-2</c:v>
                </c:pt>
                <c:pt idx="11">
                  <c:v>0.1146380928223992</c:v>
                </c:pt>
              </c:numCache>
            </c:numRef>
          </c:val>
          <c:extLst>
            <c:ext xmlns:c16="http://schemas.microsoft.com/office/drawing/2014/chart" uri="{C3380CC4-5D6E-409C-BE32-E72D297353CC}">
              <c16:uniqueId val="{00000018-D988-4262-B4B3-5AF4AB119D5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layout>
        <c:manualLayout>
          <c:xMode val="edge"/>
          <c:yMode val="edge"/>
          <c:x val="0.57319116360454947"/>
          <c:y val="0.16035270872039872"/>
          <c:w val="0.40079681187084376"/>
          <c:h val="0.7824927708992022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EF8E8"/>
    </a:solidFill>
    <a:ln w="9525" cap="flat" cmpd="sng" algn="ctr">
      <a:solidFill>
        <a:srgbClr val="002060"/>
      </a:solidFill>
      <a:round/>
    </a:ln>
    <a:effectLst/>
  </c:spPr>
  <c:txPr>
    <a:bodyPr/>
    <a:lstStyle/>
    <a:p>
      <a:pPr>
        <a:defRPr baseline="0">
          <a:latin typeface="Segoe UI" panose="020B0502040204020203" pitchFamily="34" charset="0"/>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1457</Words>
  <Characters>8018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SARACINSKA Iveta</cp:lastModifiedBy>
  <cp:revision>3</cp:revision>
  <cp:lastPrinted>2025-03-05T15:25:00Z</cp:lastPrinted>
  <dcterms:created xsi:type="dcterms:W3CDTF">2025-03-17T12:40:00Z</dcterms:created>
  <dcterms:modified xsi:type="dcterms:W3CDTF">2025-03-17T12:41:00Z</dcterms:modified>
</cp:coreProperties>
</file>