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676C" w14:textId="77777777" w:rsidR="006A6814" w:rsidRPr="004E3E6E" w:rsidRDefault="004432FE" w:rsidP="004E3E6E">
      <w:pPr>
        <w:tabs>
          <w:tab w:val="left" w:pos="3969"/>
        </w:tabs>
        <w:spacing w:after="0"/>
        <w:rPr>
          <w:rFonts w:ascii="Segoe UI" w:hAnsi="Segoe UI" w:cs="Segoe UI"/>
        </w:rPr>
      </w:pPr>
      <w:r w:rsidRPr="004E3E6E">
        <w:rPr>
          <w:rFonts w:ascii="Segoe UI" w:hAnsi="Segoe UI" w:cs="Segoe UI"/>
        </w:rPr>
        <w:tab/>
      </w:r>
    </w:p>
    <w:tbl>
      <w:tblPr>
        <w:tblStyle w:val="Grilledutableau"/>
        <w:tblW w:w="9086" w:type="dxa"/>
        <w:tblLook w:val="04A0" w:firstRow="1" w:lastRow="0" w:firstColumn="1" w:lastColumn="0" w:noHBand="0" w:noVBand="1"/>
      </w:tblPr>
      <w:tblGrid>
        <w:gridCol w:w="4542"/>
        <w:gridCol w:w="4544"/>
      </w:tblGrid>
      <w:tr w:rsidR="006A6814" w:rsidRPr="004E3E6E" w14:paraId="4C84DD34" w14:textId="77777777" w:rsidTr="00E47DC3">
        <w:trPr>
          <w:trHeight w:val="557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4DD7253" w14:textId="1B52E448" w:rsidR="00906A61" w:rsidRPr="004E3E6E" w:rsidRDefault="006A6814" w:rsidP="004E3E6E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</w:pPr>
            <w:r w:rsidRPr="004E3E6E"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  <w:t xml:space="preserve">  </w:t>
            </w:r>
          </w:p>
          <w:p w14:paraId="1E77B7F7" w14:textId="77777777" w:rsidR="00B97A91" w:rsidRPr="004E3E6E" w:rsidRDefault="00B97A91" w:rsidP="004E3E6E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 w:rsidRPr="004E3E6E"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 xml:space="preserve">Ambassade de France en </w:t>
            </w:r>
            <w:r w:rsidR="00DC1C7C" w:rsidRPr="004E3E6E"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Lettonie</w:t>
            </w:r>
          </w:p>
          <w:p w14:paraId="71D94217" w14:textId="77777777" w:rsidR="00B97A91" w:rsidRPr="004E3E6E" w:rsidRDefault="00B97A91" w:rsidP="004E3E6E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 w:rsidRPr="004E3E6E"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Service économique pour les Etats Baltes</w:t>
            </w:r>
          </w:p>
          <w:p w14:paraId="36C95182" w14:textId="77777777" w:rsidR="00906A61" w:rsidRPr="004E3E6E" w:rsidRDefault="00906A61" w:rsidP="004E3E6E">
            <w:pPr>
              <w:tabs>
                <w:tab w:val="left" w:pos="3969"/>
              </w:tabs>
              <w:rPr>
                <w:rFonts w:ascii="Segoe UI" w:hAnsi="Segoe UI" w:cs="Segoe UI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28B8CCFA" w14:textId="4425F1A1" w:rsidR="00B97A91" w:rsidRPr="004E3E6E" w:rsidRDefault="3E8AC023" w:rsidP="004E3E6E">
            <w:pPr>
              <w:tabs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</w:pP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Riga, le</w:t>
            </w:r>
            <w:r w:rsidR="003509AF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9D79D3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20</w:t>
            </w:r>
            <w:r w:rsidR="00AC192D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février</w:t>
            </w:r>
            <w:r w:rsidR="001114EF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A73F7C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202</w:t>
            </w:r>
            <w:r w:rsidR="00AC192D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3</w:t>
            </w:r>
          </w:p>
          <w:p w14:paraId="549C64A4" w14:textId="68C7811A" w:rsidR="00B97A91" w:rsidRPr="004E3E6E" w:rsidRDefault="3E8AC023" w:rsidP="004E3E6E">
            <w:pPr>
              <w:tabs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</w:pP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Affaire suivie par :</w:t>
            </w:r>
            <w:r w:rsidR="001C4147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Enola MIDOUX </w:t>
            </w: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14:paraId="0ECDCEE8" w14:textId="4DF9BCB1" w:rsidR="3E8AC023" w:rsidRPr="004E3E6E" w:rsidRDefault="3E8AC023" w:rsidP="004E3E6E">
            <w:pPr>
              <w:jc w:val="right"/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</w:pP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Revu par</w:t>
            </w:r>
            <w:r w:rsidR="00A16B7A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>:</w:t>
            </w:r>
            <w:r w:rsidR="001C4147"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Jean CARO</w:t>
            </w:r>
            <w:r w:rsidRPr="004E3E6E">
              <w:rPr>
                <w:rFonts w:ascii="Segoe UI" w:eastAsia="SimSun" w:hAnsi="Segoe UI" w:cs="Segoe UI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  <w:p w14:paraId="08876045" w14:textId="77777777" w:rsidR="006A6814" w:rsidRPr="004E3E6E" w:rsidRDefault="006A6814" w:rsidP="004E3E6E">
            <w:pPr>
              <w:tabs>
                <w:tab w:val="left" w:pos="3969"/>
              </w:tabs>
              <w:jc w:val="right"/>
              <w:rPr>
                <w:rFonts w:ascii="Segoe UI" w:hAnsi="Segoe UI" w:cs="Segoe UI"/>
              </w:rPr>
            </w:pPr>
          </w:p>
        </w:tc>
      </w:tr>
      <w:tr w:rsidR="00F37E56" w:rsidRPr="004E3E6E" w14:paraId="1318B27A" w14:textId="77777777" w:rsidTr="00E47DC3">
        <w:trPr>
          <w:trHeight w:val="567"/>
        </w:trPr>
        <w:tc>
          <w:tcPr>
            <w:tcW w:w="9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FF31" w14:textId="10CA3012" w:rsidR="00904EBC" w:rsidRPr="004E3E6E" w:rsidRDefault="00877DAC" w:rsidP="004E3E6E">
            <w:pPr>
              <w:tabs>
                <w:tab w:val="left" w:pos="3969"/>
                <w:tab w:val="center" w:pos="4423"/>
                <w:tab w:val="right" w:pos="8846"/>
              </w:tabs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</w:pPr>
            <w:r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>Lettonie</w:t>
            </w:r>
            <w:r w:rsidR="001C4147"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> : fort ralentissement du commerce extérieur</w:t>
            </w:r>
            <w:r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 xml:space="preserve"> </w:t>
            </w:r>
            <w:r w:rsidR="00AC192D"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 xml:space="preserve">en </w:t>
            </w:r>
            <w:r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>202</w:t>
            </w:r>
            <w:r w:rsidR="002E1710" w:rsidRPr="004E3E6E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>3</w:t>
            </w:r>
          </w:p>
        </w:tc>
      </w:tr>
    </w:tbl>
    <w:p w14:paraId="2B2A0796" w14:textId="0F7C9E52" w:rsidR="00166090" w:rsidRPr="004E3E6E" w:rsidRDefault="3E8AC023" w:rsidP="004E3E6E">
      <w:pPr>
        <w:pStyle w:val="Briefinglist1"/>
        <w:keepLines w:val="0"/>
        <w:numPr>
          <w:ilvl w:val="0"/>
          <w:numId w:val="0"/>
        </w:numPr>
        <w:spacing w:after="0"/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</w:pPr>
      <w:r w:rsidRPr="004E3E6E">
        <w:rPr>
          <w:rFonts w:ascii="Segoe UI" w:eastAsia="Times New Roman" w:hAnsi="Segoe UI" w:cs="Segoe UI"/>
          <w:color w:val="006CE5"/>
          <w:sz w:val="20"/>
          <w:szCs w:val="20"/>
          <w:u w:val="single"/>
          <w:lang w:val="fr-FR" w:eastAsia="fr-FR"/>
        </w:rPr>
        <w:t>Résumé</w:t>
      </w:r>
      <w:r w:rsidR="00B21AE3" w:rsidRPr="004E3E6E">
        <w:rPr>
          <w:rFonts w:ascii="Segoe UI" w:eastAsia="Times New Roman" w:hAnsi="Segoe UI" w:cs="Segoe UI"/>
          <w:color w:val="006CE5"/>
          <w:sz w:val="20"/>
          <w:szCs w:val="20"/>
          <w:u w:val="single"/>
          <w:lang w:val="fr-FR" w:eastAsia="fr-FR"/>
        </w:rPr>
        <w:t> </w:t>
      </w:r>
      <w:r w:rsidR="00B21AE3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:</w:t>
      </w:r>
      <w:r w:rsidR="00CB7F9C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 </w:t>
      </w:r>
      <w:r w:rsidR="00CB742C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En 2023, 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le commerce extérieur de la Lettonie a diminué de près de 12% en valeur et de 19% en volume, essentiellement du fait du ralentissement de l’activité économique, </w:t>
      </w:r>
      <w:r w:rsidR="001C4147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et 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de la </w:t>
      </w:r>
      <w:r w:rsidR="0042683F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baisse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 des prix </w:t>
      </w:r>
      <w:r w:rsidR="00115146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de certains produits (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produits énergétiques</w:t>
      </w:r>
      <w:r w:rsidR="00115146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, 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bois</w:t>
      </w:r>
      <w:r w:rsidR="00115146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)</w:t>
      </w:r>
      <w:r w:rsidR="00081D31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. Les exportations ayant ralenti moins vite que les importations, le déficit commercial s’est réduit de 17,6%</w:t>
      </w:r>
      <w:r w:rsidR="000B17BF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. </w:t>
      </w:r>
      <w:r w:rsidR="00D040A5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Les exportations sont portées par la filière des machines, appareils et matériels électriques et électroniques </w:t>
      </w:r>
      <w:r w:rsidR="00D95BD3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ainsi que</w:t>
      </w:r>
      <w:r w:rsidR="00D040A5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 par la filière du bois. Quant aux importations, elles sont </w:t>
      </w:r>
      <w:r w:rsidR="007B316C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portées </w:t>
      </w:r>
      <w:r w:rsidR="00D040A5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par le secteur des machines, appareils et matériels électriques et électroniques, celui des véhicules de transport, ainsi que </w:t>
      </w:r>
      <w:r w:rsidR="001C4147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>les</w:t>
      </w:r>
      <w:r w:rsidR="00D040A5" w:rsidRPr="004E3E6E"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  <w:t xml:space="preserve"> ressources énergétiques. Les principaux partenaires commerciaux de la Lettonie sont les pays européens, et en particulier ses voisins baltes.</w:t>
      </w:r>
    </w:p>
    <w:p w14:paraId="63100E56" w14:textId="77777777" w:rsidR="00CB742C" w:rsidRPr="004E3E6E" w:rsidRDefault="00CB742C" w:rsidP="004E3E6E">
      <w:pPr>
        <w:pStyle w:val="Briefinglist1"/>
        <w:keepLines w:val="0"/>
        <w:numPr>
          <w:ilvl w:val="0"/>
          <w:numId w:val="0"/>
        </w:numPr>
        <w:spacing w:after="0"/>
        <w:rPr>
          <w:rFonts w:ascii="Segoe UI" w:eastAsia="Times New Roman" w:hAnsi="Segoe UI" w:cs="Segoe UI"/>
          <w:color w:val="006CE5"/>
          <w:sz w:val="20"/>
          <w:szCs w:val="20"/>
          <w:lang w:val="fr-FR" w:eastAsia="fr-FR"/>
        </w:rPr>
      </w:pPr>
    </w:p>
    <w:p w14:paraId="2F06A658" w14:textId="77777777" w:rsidR="002253E8" w:rsidRPr="004E3E6E" w:rsidRDefault="002253E8" w:rsidP="004E3E6E">
      <w:pPr>
        <w:pStyle w:val="Briefinglist1"/>
        <w:keepLines w:val="0"/>
        <w:numPr>
          <w:ilvl w:val="0"/>
          <w:numId w:val="0"/>
        </w:numPr>
        <w:rPr>
          <w:rFonts w:ascii="Segoe UI" w:eastAsia="Times New Roman" w:hAnsi="Segoe UI" w:cs="Segoe UI"/>
          <w:color w:val="000091"/>
          <w:lang w:val="fr-FR" w:eastAsia="fr-FR"/>
        </w:rPr>
      </w:pPr>
      <w:r w:rsidRPr="004E3E6E">
        <w:rPr>
          <w:rFonts w:ascii="Segoe UI" w:hAnsi="Segoe UI" w:cs="Segoe UI"/>
          <w:noProof/>
          <w:color w:val="000091"/>
          <w:lang w:val="fr-FR" w:eastAsia="fr-FR"/>
        </w:rPr>
        <mc:AlternateContent>
          <mc:Choice Requires="wps">
            <w:drawing>
              <wp:inline distT="0" distB="0" distL="0" distR="0" wp14:anchorId="617AC5F3" wp14:editId="40E38B11">
                <wp:extent cx="6076950" cy="307075"/>
                <wp:effectExtent l="0" t="0" r="0" b="0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0707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0F37" w14:textId="69A922DF" w:rsidR="002253E8" w:rsidRPr="00D12F29" w:rsidRDefault="00877DAC" w:rsidP="002253E8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D12F2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Les </w:t>
                            </w:r>
                            <w:r w:rsidR="00573A68" w:rsidRPr="00D12F2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échanges </w:t>
                            </w:r>
                            <w:r w:rsidR="00D003C8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commerciaux diminuent</w:t>
                            </w:r>
                            <w:r w:rsidR="00720E9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en même temps que</w:t>
                            </w:r>
                            <w:r w:rsidR="00D003C8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  <w:r w:rsidR="00573A68" w:rsidRPr="00D12F2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le </w:t>
                            </w:r>
                            <w:r w:rsidRPr="00D12F2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déficit commercial</w:t>
                            </w:r>
                            <w:r w:rsidR="00720E9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AC5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78.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" fillcolor="#006ce5" stroked="f">
                <v:textbox>
                  <w:txbxContent>
                    <w:p w14:paraId="5E110F37" w14:textId="69A922DF" w:rsidR="002253E8" w:rsidRPr="00D12F29" w:rsidRDefault="00877DAC" w:rsidP="002253E8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D12F29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Les </w:t>
                      </w:r>
                      <w:r w:rsidR="00573A68" w:rsidRPr="00D12F29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échanges </w:t>
                      </w:r>
                      <w:r w:rsidR="00D003C8">
                        <w:rPr>
                          <w:rFonts w:ascii="Segoe UI" w:hAnsi="Segoe UI" w:cs="Segoe UI"/>
                          <w:color w:val="FFFFFF" w:themeColor="background1"/>
                        </w:rPr>
                        <w:t>commerciaux diminuent</w:t>
                      </w:r>
                      <w:r w:rsidR="00720E93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en même temps que</w:t>
                      </w:r>
                      <w:r w:rsidR="00D003C8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  <w:r w:rsidR="00573A68" w:rsidRPr="00D12F29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le </w:t>
                      </w:r>
                      <w:r w:rsidRPr="00D12F29">
                        <w:rPr>
                          <w:rFonts w:ascii="Segoe UI" w:hAnsi="Segoe UI" w:cs="Segoe UI"/>
                          <w:color w:val="FFFFFF" w:themeColor="background1"/>
                        </w:rPr>
                        <w:t>déficit commercial</w:t>
                      </w:r>
                      <w:r w:rsidR="00720E93">
                        <w:rPr>
                          <w:rFonts w:ascii="Segoe UI" w:hAnsi="Segoe UI" w:cs="Segoe UI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10D4A" w14:textId="439EB003" w:rsidR="007D4E48" w:rsidRPr="004E3E6E" w:rsidRDefault="00CB2FB9" w:rsidP="004E3E6E">
      <w:pPr>
        <w:pStyle w:val="Briefinglist1"/>
        <w:keepLines w:val="0"/>
        <w:numPr>
          <w:ilvl w:val="0"/>
          <w:numId w:val="0"/>
        </w:numPr>
        <w:rPr>
          <w:rFonts w:ascii="Segoe UI" w:hAnsi="Segoe UI" w:cs="Segoe UI"/>
          <w:color w:val="000000"/>
          <w:sz w:val="20"/>
          <w:szCs w:val="20"/>
          <w:lang w:val="fr-FR"/>
        </w:rPr>
      </w:pPr>
      <w:r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Le volume de marchandises échangées a </w:t>
      </w:r>
      <w:r w:rsidR="00D05B8A" w:rsidRPr="004E3E6E">
        <w:rPr>
          <w:rFonts w:ascii="Segoe UI" w:hAnsi="Segoe UI" w:cs="Segoe UI"/>
          <w:color w:val="000000"/>
          <w:sz w:val="20"/>
          <w:szCs w:val="20"/>
          <w:lang w:val="fr-FR"/>
        </w:rPr>
        <w:t>diminué</w:t>
      </w:r>
      <w:r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de 19,2% entre 2022 et 2023. En particulier, le v</w:t>
      </w:r>
      <w:r w:rsidR="002410EA" w:rsidRPr="004E3E6E">
        <w:rPr>
          <w:rFonts w:ascii="Segoe UI" w:hAnsi="Segoe UI" w:cs="Segoe UI"/>
          <w:color w:val="000000"/>
          <w:sz w:val="20"/>
          <w:szCs w:val="20"/>
          <w:lang w:val="fr-FR"/>
        </w:rPr>
        <w:t>olume des marchandises exportées </w:t>
      </w:r>
      <w:r w:rsidR="00D05B8A" w:rsidRPr="004E3E6E">
        <w:rPr>
          <w:rFonts w:ascii="Segoe UI" w:hAnsi="Segoe UI" w:cs="Segoe UI"/>
          <w:color w:val="000000"/>
          <w:sz w:val="20"/>
          <w:szCs w:val="20"/>
          <w:lang w:val="fr-FR"/>
        </w:rPr>
        <w:t>a diminué</w:t>
      </w:r>
      <w:r w:rsidR="002410EA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de </w:t>
      </w:r>
      <w:r w:rsidR="00B52871" w:rsidRPr="004E3E6E">
        <w:rPr>
          <w:rFonts w:ascii="Segoe UI" w:hAnsi="Segoe UI" w:cs="Segoe UI"/>
          <w:color w:val="000000"/>
          <w:sz w:val="20"/>
          <w:szCs w:val="20"/>
          <w:lang w:val="fr-FR"/>
        </w:rPr>
        <w:t>11,2%</w:t>
      </w:r>
      <w:r w:rsidR="002410EA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tandis que le volume des marchandises importées a diminué de 1</w:t>
      </w:r>
      <w:r w:rsidR="00B52871" w:rsidRPr="004E3E6E">
        <w:rPr>
          <w:rFonts w:ascii="Segoe UI" w:hAnsi="Segoe UI" w:cs="Segoe UI"/>
          <w:color w:val="000000"/>
          <w:sz w:val="20"/>
          <w:szCs w:val="20"/>
          <w:lang w:val="fr-FR"/>
        </w:rPr>
        <w:t>2</w:t>
      </w:r>
      <w:r w:rsidR="002410EA" w:rsidRPr="004E3E6E">
        <w:rPr>
          <w:rFonts w:ascii="Segoe UI" w:hAnsi="Segoe UI" w:cs="Segoe UI"/>
          <w:color w:val="000000"/>
          <w:sz w:val="20"/>
          <w:szCs w:val="20"/>
          <w:lang w:val="fr-FR"/>
        </w:rPr>
        <w:t>,</w:t>
      </w:r>
      <w:r w:rsidR="00D05B8A" w:rsidRPr="004E3E6E">
        <w:rPr>
          <w:rFonts w:ascii="Segoe UI" w:hAnsi="Segoe UI" w:cs="Segoe UI"/>
          <w:color w:val="000000"/>
          <w:sz w:val="20"/>
          <w:szCs w:val="20"/>
          <w:lang w:val="fr-FR"/>
        </w:rPr>
        <w:t>5</w:t>
      </w:r>
      <w:r w:rsidR="002410EA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%. </w:t>
      </w:r>
      <w:r w:rsidR="005C0093" w:rsidRPr="004E3E6E">
        <w:rPr>
          <w:rFonts w:ascii="Segoe UI" w:hAnsi="Segoe UI" w:cs="Segoe UI"/>
          <w:color w:val="000000"/>
          <w:sz w:val="20"/>
          <w:szCs w:val="20"/>
          <w:lang w:val="fr-FR"/>
        </w:rPr>
        <w:t>Le montant cumulé des échanges</w:t>
      </w:r>
      <w:r w:rsidR="001C4147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en valeur</w:t>
      </w:r>
      <w:r w:rsidR="005C0093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a diminué</w:t>
      </w:r>
      <w:r w:rsidR="001F4087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</w:t>
      </w:r>
      <w:r w:rsidR="005C0093" w:rsidRPr="004E3E6E">
        <w:rPr>
          <w:rFonts w:ascii="Segoe UI" w:hAnsi="Segoe UI" w:cs="Segoe UI"/>
          <w:color w:val="000000"/>
          <w:sz w:val="20"/>
          <w:szCs w:val="20"/>
          <w:lang w:val="fr-FR"/>
        </w:rPr>
        <w:t>de 1</w:t>
      </w:r>
      <w:r w:rsidR="00096F4C" w:rsidRPr="004E3E6E">
        <w:rPr>
          <w:rFonts w:ascii="Segoe UI" w:hAnsi="Segoe UI" w:cs="Segoe UI"/>
          <w:color w:val="000000"/>
          <w:sz w:val="20"/>
          <w:szCs w:val="20"/>
          <w:lang w:val="fr-FR"/>
        </w:rPr>
        <w:t>1,9</w:t>
      </w:r>
      <w:r w:rsidR="005C0093" w:rsidRPr="004E3E6E">
        <w:rPr>
          <w:rFonts w:ascii="Segoe UI" w:hAnsi="Segoe UI" w:cs="Segoe UI"/>
          <w:color w:val="000000"/>
          <w:sz w:val="20"/>
          <w:szCs w:val="20"/>
          <w:lang w:val="fr-FR"/>
        </w:rPr>
        <w:t>% environ, pour atteindre 42,1 Mds EUR en 2023.</w:t>
      </w:r>
      <w:r w:rsidR="00B700EA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Cela peut être attribué</w:t>
      </w:r>
      <w:r w:rsidR="001F4087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</w:t>
      </w:r>
      <w:r w:rsidR="00A905E5" w:rsidRPr="004E3E6E">
        <w:rPr>
          <w:rFonts w:ascii="Segoe UI" w:hAnsi="Segoe UI" w:cs="Segoe UI"/>
          <w:color w:val="000000"/>
          <w:sz w:val="20"/>
          <w:szCs w:val="20"/>
          <w:lang w:val="fr-FR"/>
        </w:rPr>
        <w:t>à la diminution des prix du bois et des ressources énergétiques.</w:t>
      </w:r>
      <w:r w:rsidR="00663CC5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</w:t>
      </w:r>
      <w:r w:rsidR="00DE1D48" w:rsidRPr="004E3E6E">
        <w:rPr>
          <w:rFonts w:ascii="Segoe UI" w:hAnsi="Segoe UI" w:cs="Segoe UI"/>
          <w:color w:val="000000"/>
          <w:sz w:val="20"/>
          <w:szCs w:val="20"/>
          <w:lang w:val="fr-FR"/>
        </w:rPr>
        <w:t>Le déficit commercial a représenté</w:t>
      </w:r>
      <w:r w:rsidR="00044C9A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4</w:t>
      </w:r>
      <w:r w:rsidR="00981FB4" w:rsidRPr="004E3E6E">
        <w:rPr>
          <w:rFonts w:ascii="Segoe UI" w:hAnsi="Segoe UI" w:cs="Segoe UI"/>
          <w:color w:val="000000"/>
          <w:sz w:val="20"/>
          <w:szCs w:val="20"/>
          <w:lang w:val="fr-FR"/>
        </w:rPr>
        <w:t>,</w:t>
      </w:r>
      <w:r w:rsidR="00044C9A" w:rsidRPr="004E3E6E">
        <w:rPr>
          <w:rFonts w:ascii="Segoe UI" w:hAnsi="Segoe UI" w:cs="Segoe UI"/>
          <w:color w:val="000000"/>
          <w:sz w:val="20"/>
          <w:szCs w:val="20"/>
          <w:lang w:val="fr-FR"/>
        </w:rPr>
        <w:t>25 Mds EUR en 2023 contre 5</w:t>
      </w:r>
      <w:r w:rsidR="00981FB4" w:rsidRPr="004E3E6E">
        <w:rPr>
          <w:rFonts w:ascii="Segoe UI" w:hAnsi="Segoe UI" w:cs="Segoe UI"/>
          <w:color w:val="000000"/>
          <w:sz w:val="20"/>
          <w:szCs w:val="20"/>
          <w:lang w:val="fr-FR"/>
        </w:rPr>
        <w:t>,</w:t>
      </w:r>
      <w:r w:rsidR="00044C9A" w:rsidRPr="004E3E6E">
        <w:rPr>
          <w:rFonts w:ascii="Segoe UI" w:hAnsi="Segoe UI" w:cs="Segoe UI"/>
          <w:color w:val="000000"/>
          <w:sz w:val="20"/>
          <w:szCs w:val="20"/>
          <w:lang w:val="fr-FR"/>
        </w:rPr>
        <w:t>2 Mds en 2022.</w:t>
      </w:r>
      <w:r w:rsidR="00663CC5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Selon les données lettones, l</w:t>
      </w:r>
      <w:r w:rsidR="00D978AD" w:rsidRPr="004E3E6E">
        <w:rPr>
          <w:rFonts w:ascii="Segoe UI" w:hAnsi="Segoe UI" w:cs="Segoe UI"/>
          <w:color w:val="000000"/>
          <w:sz w:val="20"/>
          <w:szCs w:val="20"/>
          <w:lang w:val="fr-FR"/>
        </w:rPr>
        <w:t>a France est le 15</w:t>
      </w:r>
      <w:r w:rsidR="00D978AD" w:rsidRPr="004E3E6E">
        <w:rPr>
          <w:rFonts w:ascii="Segoe UI" w:hAnsi="Segoe UI" w:cs="Segoe UI"/>
          <w:color w:val="000000"/>
          <w:sz w:val="20"/>
          <w:szCs w:val="20"/>
          <w:vertAlign w:val="superscript"/>
          <w:lang w:val="fr-FR"/>
        </w:rPr>
        <w:t>ème</w:t>
      </w:r>
      <w:r w:rsidR="00D978AD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fournisseur de la Lettonie en 2023, et son 12</w:t>
      </w:r>
      <w:r w:rsidR="00D978AD" w:rsidRPr="004E3E6E">
        <w:rPr>
          <w:rFonts w:ascii="Segoe UI" w:hAnsi="Segoe UI" w:cs="Segoe UI"/>
          <w:color w:val="000000"/>
          <w:sz w:val="20"/>
          <w:szCs w:val="20"/>
          <w:vertAlign w:val="superscript"/>
          <w:lang w:val="fr-FR"/>
        </w:rPr>
        <w:t>ème</w:t>
      </w:r>
      <w:r w:rsidR="00D978AD" w:rsidRPr="004E3E6E">
        <w:rPr>
          <w:rFonts w:ascii="Segoe UI" w:hAnsi="Segoe UI" w:cs="Segoe UI"/>
          <w:color w:val="000000"/>
          <w:sz w:val="20"/>
          <w:szCs w:val="20"/>
          <w:lang w:val="fr-FR"/>
        </w:rPr>
        <w:t xml:space="preserve"> client, avec des parts de marché de 1</w:t>
      </w:r>
      <w:r w:rsidR="00981FB4" w:rsidRPr="004E3E6E">
        <w:rPr>
          <w:rFonts w:ascii="Segoe UI" w:hAnsi="Segoe UI" w:cs="Segoe UI"/>
          <w:color w:val="000000"/>
          <w:sz w:val="20"/>
          <w:szCs w:val="20"/>
          <w:lang w:val="fr-FR"/>
        </w:rPr>
        <w:t>,</w:t>
      </w:r>
      <w:r w:rsidR="00D978AD" w:rsidRPr="004E3E6E">
        <w:rPr>
          <w:rFonts w:ascii="Segoe UI" w:hAnsi="Segoe UI" w:cs="Segoe UI"/>
          <w:color w:val="000000"/>
          <w:sz w:val="20"/>
          <w:szCs w:val="20"/>
          <w:lang w:val="fr-FR"/>
        </w:rPr>
        <w:t>9% et 2</w:t>
      </w:r>
      <w:r w:rsidR="00981FB4" w:rsidRPr="004E3E6E">
        <w:rPr>
          <w:rFonts w:ascii="Segoe UI" w:hAnsi="Segoe UI" w:cs="Segoe UI"/>
          <w:color w:val="000000"/>
          <w:sz w:val="20"/>
          <w:szCs w:val="20"/>
          <w:lang w:val="fr-FR"/>
        </w:rPr>
        <w:t>,</w:t>
      </w:r>
      <w:r w:rsidR="00D978AD" w:rsidRPr="004E3E6E">
        <w:rPr>
          <w:rFonts w:ascii="Segoe UI" w:hAnsi="Segoe UI" w:cs="Segoe UI"/>
          <w:color w:val="000000"/>
          <w:sz w:val="20"/>
          <w:szCs w:val="20"/>
          <w:lang w:val="fr-FR"/>
        </w:rPr>
        <w:t>5% respectivement en 2023.</w:t>
      </w:r>
    </w:p>
    <w:p w14:paraId="2242C5D5" w14:textId="77777777" w:rsidR="00A81E0A" w:rsidRPr="004E3E6E" w:rsidRDefault="00A81E0A" w:rsidP="004E3E6E">
      <w:pPr>
        <w:spacing w:after="120"/>
        <w:jc w:val="both"/>
        <w:rPr>
          <w:rFonts w:ascii="Segoe UI" w:hAnsi="Segoe UI" w:cs="Segoe UI"/>
          <w:color w:val="006CE5"/>
          <w:sz w:val="20"/>
        </w:rPr>
      </w:pPr>
      <w:r w:rsidRPr="004E3E6E">
        <w:rPr>
          <w:rFonts w:ascii="Segoe UI" w:hAnsi="Segoe UI" w:cs="Segoe UI"/>
          <w:noProof/>
          <w:color w:val="000091"/>
          <w:lang w:eastAsia="fr-FR"/>
        </w:rPr>
        <mc:AlternateContent>
          <mc:Choice Requires="wps">
            <w:drawing>
              <wp:inline distT="0" distB="0" distL="0" distR="0" wp14:anchorId="77AA861D" wp14:editId="042C6C32">
                <wp:extent cx="6105525" cy="510363"/>
                <wp:effectExtent l="0" t="0" r="9525" b="4445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10363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6A91E" w14:textId="1A159EF5" w:rsidR="00A81E0A" w:rsidRPr="00D12F29" w:rsidRDefault="00D003C8" w:rsidP="00A81E0A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Les machines et appareils électriques et électroniques deviennent le premier secteur </w:t>
                            </w:r>
                            <w:r w:rsidR="0042061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d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’exportation, devant la filière bois. Le dimension régionale est toujours forte.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A861D" id="_x0000_s1027" type="#_x0000_t202" style="width:480.75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" fillcolor="#006ce5" stroked="f">
                <v:textbox>
                  <w:txbxContent>
                    <w:p w14:paraId="37F6A91E" w14:textId="1A159EF5" w:rsidR="00A81E0A" w:rsidRPr="00D12F29" w:rsidRDefault="00D003C8" w:rsidP="00A81E0A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Les machines et appareils électriques et électroniques deviennent le premier secteur </w:t>
                      </w:r>
                      <w:r w:rsidR="00420616">
                        <w:rPr>
                          <w:rFonts w:ascii="Segoe UI" w:hAnsi="Segoe UI" w:cs="Segoe UI"/>
                          <w:color w:val="FFFFFF" w:themeColor="background1"/>
                        </w:rPr>
                        <w:t>d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’exportation, devant la filière bois. Le dimension régionale est toujours forte.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80AA31" w14:textId="39D3330A" w:rsidR="00693FC5" w:rsidRPr="004E3E6E" w:rsidRDefault="00981FB4" w:rsidP="004E3E6E">
      <w:pPr>
        <w:jc w:val="both"/>
        <w:rPr>
          <w:rFonts w:ascii="Segoe UI" w:hAnsi="Segoe UI" w:cs="Segoe UI"/>
          <w:sz w:val="20"/>
          <w:szCs w:val="20"/>
        </w:rPr>
      </w:pPr>
      <w:r w:rsidRPr="004E3E6E">
        <w:rPr>
          <w:rFonts w:ascii="Segoe UI" w:hAnsi="Segoe UI" w:cs="Segoe UI"/>
          <w:b/>
          <w:bCs/>
          <w:sz w:val="20"/>
          <w:szCs w:val="20"/>
        </w:rPr>
        <w:t>En 2023, les exportations lettones représentaient 18,9 Mds EUR</w:t>
      </w:r>
      <w:r w:rsidR="00DE41A1" w:rsidRPr="004E3E6E">
        <w:rPr>
          <w:rFonts w:ascii="Segoe UI" w:hAnsi="Segoe UI" w:cs="Segoe UI"/>
          <w:b/>
          <w:bCs/>
          <w:sz w:val="20"/>
          <w:szCs w:val="20"/>
        </w:rPr>
        <w:t xml:space="preserve"> contr</w:t>
      </w:r>
      <w:r w:rsidR="00F149EC" w:rsidRPr="004E3E6E">
        <w:rPr>
          <w:rFonts w:ascii="Segoe UI" w:hAnsi="Segoe UI" w:cs="Segoe UI"/>
          <w:b/>
          <w:bCs/>
          <w:sz w:val="20"/>
          <w:szCs w:val="20"/>
        </w:rPr>
        <w:t>e 21,3 Mds</w:t>
      </w:r>
      <w:r w:rsidR="00DE41A1" w:rsidRPr="004E3E6E">
        <w:rPr>
          <w:rFonts w:ascii="Segoe UI" w:hAnsi="Segoe UI" w:cs="Segoe UI"/>
          <w:b/>
          <w:bCs/>
          <w:sz w:val="20"/>
          <w:szCs w:val="20"/>
        </w:rPr>
        <w:t xml:space="preserve"> en 2022.</w:t>
      </w:r>
      <w:r w:rsidR="00F149EC" w:rsidRPr="004E3E6E">
        <w:rPr>
          <w:rFonts w:ascii="Segoe UI" w:hAnsi="Segoe UI" w:cs="Segoe UI"/>
          <w:sz w:val="20"/>
          <w:szCs w:val="20"/>
        </w:rPr>
        <w:t xml:space="preserve"> </w:t>
      </w:r>
      <w:r w:rsidR="004C6AF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La filière des machines, appareils et matériel</w:t>
      </w:r>
      <w:r w:rsidR="005C232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s</w:t>
      </w:r>
      <w:r w:rsidR="004C6AF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électrique</w:t>
      </w:r>
      <w:r w:rsidR="005C232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s et électroniques</w:t>
      </w:r>
      <w:r w:rsidR="004C6AF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est devenue la première catégorie d’exportation en représentant 16,2% des exportations</w:t>
      </w:r>
      <w:r w:rsidR="00937E9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, contre 14,3% en 2022</w:t>
      </w:r>
      <w:r w:rsidR="004C6AF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. Quant à la filière bois, déclassée en deuxième place, </w:t>
      </w:r>
      <w:r w:rsidR="001C414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elle </w:t>
      </w:r>
      <w:r w:rsidR="004C6AF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représentait 15,1 % des exportations en 2023</w:t>
      </w:r>
      <w:r w:rsidR="00937E9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contre 17.2% en 2022.</w:t>
      </w:r>
      <w:r w:rsidR="00143106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 Ensuite viennent les produits agroalimentaires (9.8%), les produits chimiques (8,5%), les </w:t>
      </w:r>
      <w:r w:rsidR="007566AA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ressources énergétiques</w:t>
      </w:r>
      <w:r w:rsidR="00143106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(7,9%</w:t>
      </w:r>
      <w:r w:rsidR="007566AA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contre 12,8% en 2022</w:t>
      </w:r>
      <w:r w:rsidR="00143106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)</w:t>
      </w:r>
      <w:r w:rsidR="00D5069D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, les produits végétaux (7,5%).</w:t>
      </w:r>
    </w:p>
    <w:p w14:paraId="5FFCA573" w14:textId="0F58E1BD" w:rsidR="002E5812" w:rsidRPr="004E3E6E" w:rsidRDefault="00E550F6" w:rsidP="004E3E6E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4E3E6E">
        <w:rPr>
          <w:rFonts w:ascii="Segoe UI" w:hAnsi="Segoe UI" w:cs="Segoe UI"/>
          <w:b/>
          <w:bCs/>
          <w:sz w:val="20"/>
          <w:szCs w:val="20"/>
        </w:rPr>
        <w:t>Les clients de la Lettonie restent principalement des pays de l’UE (</w:t>
      </w:r>
      <w:r w:rsidR="00FC0FD2" w:rsidRPr="004E3E6E">
        <w:rPr>
          <w:rFonts w:ascii="Segoe UI" w:hAnsi="Segoe UI" w:cs="Segoe UI"/>
          <w:b/>
          <w:bCs/>
          <w:sz w:val="20"/>
          <w:szCs w:val="20"/>
        </w:rPr>
        <w:t xml:space="preserve">près de 70% des exportations lettones). </w:t>
      </w:r>
      <w:r w:rsidR="00FC0FD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La Lituanie (3,4 Mds EUR représentant 18,2% des exportations), l’Estonie (2,2Mds EUR représentant 11,5% des exportations)</w:t>
      </w:r>
      <w:r w:rsidR="00973D2F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, l’Allemagne (1,3 Mds EUR,</w:t>
      </w:r>
      <w:r w:rsidR="00E75B6C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</w:t>
      </w:r>
      <w:r w:rsidR="00973D2F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6,9%)</w:t>
      </w:r>
      <w:r w:rsidR="00C3222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sont les premiers clients</w:t>
      </w:r>
      <w:r w:rsidR="007248A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.</w:t>
      </w:r>
      <w:r w:rsidR="007E0CA8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La France, selon les données statistiques lettones, est le 12ème client de la Lettonie (476 M EUR) avec 2,5% des parts de marché, en hausse par rapport à 2022 (2%).</w:t>
      </w:r>
    </w:p>
    <w:p w14:paraId="470FB36D" w14:textId="7531556C" w:rsidR="00121CA5" w:rsidRPr="004E3E6E" w:rsidRDefault="005C2325" w:rsidP="004E3E6E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En 2023, la filière des machines, appareils et matériels électriques et électroniques</w:t>
      </w:r>
      <w:r w:rsidR="008A5BDA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représentait 3,1 Mds EUR.  Les principaux produits exportés étaient</w:t>
      </w:r>
      <w:r w:rsidR="00565F0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des instruments de télécommunication,</w:t>
      </w:r>
      <w:r w:rsidR="002E2D74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ainsi que des moniteurs et projecteurs,</w:t>
      </w:r>
      <w:r w:rsidR="00565F0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principalement exportés vers la Lituanie</w:t>
      </w:r>
      <w:r w:rsidR="00FD2C1E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(</w:t>
      </w:r>
      <w:r w:rsidR="002E2D74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37</w:t>
      </w:r>
      <w:r w:rsidR="00324B5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,5%), </w:t>
      </w:r>
      <w:r w:rsidR="00AB2EC0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et </w:t>
      </w:r>
      <w:r w:rsidR="00565F0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l’Estonie</w:t>
      </w:r>
      <w:r w:rsidR="00FD2C1E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(</w:t>
      </w:r>
      <w:r w:rsidR="00324B5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12</w:t>
      </w:r>
      <w:r w:rsidR="00FD2C1E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%)</w:t>
      </w:r>
      <w:r w:rsidR="00AB2EC0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.</w:t>
      </w:r>
    </w:p>
    <w:p w14:paraId="7B3AB19B" w14:textId="51CBD7BE" w:rsidR="006C6D3A" w:rsidRPr="004E3E6E" w:rsidRDefault="00121CA5" w:rsidP="004E3E6E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La filière bois représentait 2,86 Mds EUR en 2023 contre 3,65 Mds en 2022. Les principaux produits exportés étaient</w:t>
      </w:r>
      <w:r w:rsidR="00E639BE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du bois de chauffage (21%), du bois scié (24,3%), du contreplaqué (</w:t>
      </w:r>
      <w:r w:rsidR="006928E0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12,2%) et du bois brut (10,7%). Les principaux clients pour cette filière étaient</w:t>
      </w: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</w:t>
      </w:r>
      <w:r w:rsidR="001C4BB1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le Royaume-Uni (20,5%)</w:t>
      </w:r>
      <w:r w:rsidR="0012421B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et</w:t>
      </w:r>
      <w:r w:rsidR="001C4BB1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la Suède</w:t>
      </w:r>
      <w:r w:rsidR="001C4BB1" w:rsidRPr="004E3E6E">
        <w:rPr>
          <w:rFonts w:ascii="Segoe UI" w:eastAsia="Times New Roman" w:hAnsi="Segoe UI" w:cs="Segoe UI"/>
          <w:color w:val="000000"/>
          <w:lang w:eastAsia="fr-FR"/>
        </w:rPr>
        <w:t xml:space="preserve"> </w:t>
      </w:r>
      <w:r w:rsidR="001C4BB1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(12,</w:t>
      </w:r>
      <w:r w:rsidR="00096F4C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4</w:t>
      </w:r>
      <w:r w:rsidR="001C4BB1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%). </w:t>
      </w:r>
      <w:r w:rsidR="008201D3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La diminution en valeur, </w:t>
      </w:r>
      <w:r w:rsidR="008201D3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lastRenderedPageBreak/>
        <w:t>qui n’est pas compensée par l’augmentation des exportations en volume (+132% par rapport à 2022) s’explique principalement par une forte diminution du prix du bois.</w:t>
      </w:r>
    </w:p>
    <w:p w14:paraId="51A5DB16" w14:textId="4235D6B7" w:rsidR="00C42335" w:rsidRPr="004E3E6E" w:rsidRDefault="00A87495" w:rsidP="004E3E6E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Les produits agroalimentaires occupent une place importante des exportations (1,86 Mds EUR)</w:t>
      </w:r>
      <w:r w:rsidR="007E7BA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et sont principalement exportés vers la Russie (26,2%), la Lituanie (14,7%) et l’Estonie (14,4%), sous forme de boissons</w:t>
      </w:r>
      <w:r w:rsidR="00FD4B89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(43,2%)</w:t>
      </w:r>
      <w:r w:rsidR="007E7BA2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ou de pr</w:t>
      </w:r>
      <w:r w:rsidR="00FD4B89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éparations à base de viande ou de produits de la mer (11,7%).</w:t>
      </w:r>
    </w:p>
    <w:p w14:paraId="7EA3C655" w14:textId="6A05218A" w:rsidR="00274C09" w:rsidRPr="004E3E6E" w:rsidRDefault="00274C09" w:rsidP="004E3E6E">
      <w:pPr>
        <w:jc w:val="both"/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</w:pP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Les </w:t>
      </w:r>
      <w:r w:rsidR="00B0182C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ressources</w:t>
      </w:r>
      <w:r w:rsidR="002C7A16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minérales</w:t>
      </w:r>
      <w:r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qui représentaient 2,7 Mds EUR en 2022, sont passés à 1,5 Mds EUR en 2023</w:t>
      </w:r>
      <w:r w:rsidR="005F357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.</w:t>
      </w:r>
      <w:r w:rsidR="00492D0E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</w:t>
      </w:r>
      <w:r w:rsidR="004E2264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Les principaux clients de la Lettonie pour ce secteur sont la Lituanie (34,5%), l’Estonie (15,3%) et la Finlande (13,6%). </w:t>
      </w:r>
      <w:r w:rsidR="005F357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Les exportations de ressources énergétiques se composent principalement de gaz naturel (35,2%), d’électricité (20,1%) et de produits pétroliers (17,7%)</w:t>
      </w:r>
      <w:r w:rsidR="002C7A16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. </w:t>
      </w:r>
      <w:r w:rsidR="00847DA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Les prix de ces trois postes </w:t>
      </w:r>
      <w:r w:rsidR="002F26EF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ont </w:t>
      </w:r>
      <w:r w:rsidR="00847DA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diminué en 2023, contribuant à la diminution de la valeur des exportations de ressources minérales</w:t>
      </w:r>
      <w:r w:rsidR="00310778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 : e</w:t>
      </w:r>
      <w:r w:rsidR="006C440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n 2023</w:t>
      </w:r>
      <w:r w:rsidR="00310778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,</w:t>
      </w:r>
      <w:r w:rsidR="006C440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le prix de l’électricité en Lettonie a diminué de 59% par rapport à 2022. </w:t>
      </w:r>
      <w:r w:rsidR="00847DA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Ceci est accentué par la stratégie de diversification/indépendance énergétique de la Lettonie, qui veut privilégier la consommation interne de</w:t>
      </w:r>
      <w:r w:rsidR="00C6644A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ses</w:t>
      </w:r>
      <w:r w:rsidR="00847DA5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ressources énergétiques.</w:t>
      </w:r>
      <w:r w:rsidR="006C4407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 xml:space="preserve"> </w:t>
      </w:r>
      <w:r w:rsidR="00310778" w:rsidRPr="004E3E6E">
        <w:rPr>
          <w:rFonts w:ascii="Segoe UI" w:eastAsia="Times New Roman" w:hAnsi="Segoe UI" w:cs="Segoe UI"/>
          <w:color w:val="000000"/>
          <w:sz w:val="20"/>
          <w:szCs w:val="20"/>
          <w:lang w:eastAsia="fr-FR"/>
        </w:rPr>
        <w:t>En 2023, 88,3% de la consommation d’électricité a été couverte par la production locale, le plus haut taux depuis 2017.</w:t>
      </w:r>
    </w:p>
    <w:p w14:paraId="71F40D70" w14:textId="1B16FAFB" w:rsidR="00507196" w:rsidRPr="004E3E6E" w:rsidRDefault="00221F01" w:rsidP="004E3E6E">
      <w:pPr>
        <w:pStyle w:val="Briefinglist1"/>
        <w:keepLines w:val="0"/>
        <w:numPr>
          <w:ilvl w:val="0"/>
          <w:numId w:val="0"/>
        </w:numPr>
        <w:rPr>
          <w:rFonts w:ascii="Segoe UI" w:eastAsiaTheme="minorHAnsi" w:hAnsi="Segoe UI" w:cs="Segoe UI"/>
          <w:color w:val="00B0F0"/>
          <w:szCs w:val="20"/>
          <w:u w:val="single"/>
          <w:lang w:val="fr-FR"/>
        </w:rPr>
      </w:pPr>
      <w:r w:rsidRPr="004E3E6E">
        <w:rPr>
          <w:rFonts w:ascii="Segoe UI" w:hAnsi="Segoe UI" w:cs="Segoe UI"/>
          <w:noProof/>
          <w:color w:val="000091"/>
          <w:lang w:val="fr-FR" w:eastAsia="fr-FR"/>
        </w:rPr>
        <mc:AlternateContent>
          <mc:Choice Requires="wps">
            <w:drawing>
              <wp:inline distT="0" distB="0" distL="0" distR="0" wp14:anchorId="56BC1964" wp14:editId="42CDB231">
                <wp:extent cx="6048375" cy="466725"/>
                <wp:effectExtent l="0" t="0" r="9525" b="9525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6672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E62A" w14:textId="0D6BA0A7" w:rsidR="00221F01" w:rsidRPr="00D12F29" w:rsidRDefault="00720E93" w:rsidP="00221F01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720E93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Les importations ont diminué en volume et en valeur, principalement en raison du ralentissement des achats de ressources énergétiques et de </w:t>
                            </w:r>
                            <w:r w:rsidR="00AB2EC0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leur baisse de prix.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BC1964" id="_x0000_s1028" type="#_x0000_t202" style="width:476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" fillcolor="#006ce5" stroked="f">
                <v:textbox>
                  <w:txbxContent>
                    <w:p w14:paraId="23CDE62A" w14:textId="0D6BA0A7" w:rsidR="00221F01" w:rsidRPr="00D12F29" w:rsidRDefault="00720E93" w:rsidP="00221F01">
                      <w:pPr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720E93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Les importations ont diminué en volume et en valeur, principalement en raison du ralentissement des achats de ressources énergétiques et de </w:t>
                      </w:r>
                      <w:r w:rsidR="00AB2EC0">
                        <w:rPr>
                          <w:rFonts w:ascii="Segoe UI" w:hAnsi="Segoe UI" w:cs="Segoe UI"/>
                          <w:color w:val="FFFFFF" w:themeColor="background1"/>
                        </w:rPr>
                        <w:t>leur baisse de prix.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91D5D" w14:textId="2BB975BD" w:rsidR="000E560E" w:rsidRPr="004E3E6E" w:rsidRDefault="00EF7597" w:rsidP="004E3E6E">
      <w:pPr>
        <w:jc w:val="both"/>
        <w:rPr>
          <w:rFonts w:ascii="Segoe UI" w:hAnsi="Segoe UI" w:cs="Segoe UI"/>
          <w:sz w:val="20"/>
          <w:szCs w:val="20"/>
        </w:rPr>
      </w:pPr>
      <w:r w:rsidRPr="004E3E6E">
        <w:rPr>
          <w:rFonts w:ascii="Segoe UI" w:hAnsi="Segoe UI" w:cs="Segoe UI"/>
          <w:b/>
          <w:bCs/>
          <w:sz w:val="20"/>
          <w:szCs w:val="20"/>
        </w:rPr>
        <w:t xml:space="preserve">Les achats en provenance des pays de l’Union européenne représentent environ </w:t>
      </w:r>
      <w:r w:rsidR="00944AA6" w:rsidRPr="004E3E6E">
        <w:rPr>
          <w:rFonts w:ascii="Segoe UI" w:hAnsi="Segoe UI" w:cs="Segoe UI"/>
          <w:b/>
          <w:bCs/>
          <w:sz w:val="20"/>
          <w:szCs w:val="20"/>
        </w:rPr>
        <w:t>80</w:t>
      </w:r>
      <w:r w:rsidR="00062CB4" w:rsidRPr="004E3E6E">
        <w:rPr>
          <w:rFonts w:ascii="Segoe UI" w:hAnsi="Segoe UI" w:cs="Segoe UI"/>
          <w:b/>
          <w:bCs/>
          <w:sz w:val="20"/>
          <w:szCs w:val="20"/>
        </w:rPr>
        <w:t>% des importations lettones</w:t>
      </w:r>
      <w:r w:rsidR="00062CB4" w:rsidRPr="004E3E6E">
        <w:rPr>
          <w:rFonts w:ascii="Segoe UI" w:hAnsi="Segoe UI" w:cs="Segoe UI"/>
          <w:sz w:val="20"/>
          <w:szCs w:val="20"/>
        </w:rPr>
        <w:t xml:space="preserve"> en </w:t>
      </w:r>
      <w:r w:rsidR="00944AA6" w:rsidRPr="004E3E6E">
        <w:rPr>
          <w:rFonts w:ascii="Segoe UI" w:hAnsi="Segoe UI" w:cs="Segoe UI"/>
          <w:sz w:val="20"/>
          <w:szCs w:val="20"/>
        </w:rPr>
        <w:t>2023, en augmentation par rapport à 2022</w:t>
      </w:r>
      <w:r w:rsidR="00507196" w:rsidRPr="004E3E6E">
        <w:rPr>
          <w:rFonts w:ascii="Segoe UI" w:hAnsi="Segoe UI" w:cs="Segoe UI"/>
          <w:sz w:val="20"/>
          <w:szCs w:val="20"/>
        </w:rPr>
        <w:t>.</w:t>
      </w:r>
      <w:r w:rsidR="0025310D" w:rsidRPr="004E3E6E">
        <w:rPr>
          <w:rFonts w:ascii="Segoe UI" w:hAnsi="Segoe UI" w:cs="Segoe UI"/>
          <w:sz w:val="20"/>
          <w:szCs w:val="20"/>
        </w:rPr>
        <w:t xml:space="preserve"> Les premiers fournisseurs de la Lettonie sont la Lituanie, avec 21% de part de marché (4,9 Mds EUR), l’Allemagne (11,2% de part de marché, 2,6 Mds EUR), et la Pologne (10,6% et 2,5 Mds EUR). Selon les données lettones la France se situe au 15</w:t>
      </w:r>
      <w:r w:rsidR="0025310D" w:rsidRPr="004E3E6E">
        <w:rPr>
          <w:rFonts w:ascii="Segoe UI" w:hAnsi="Segoe UI" w:cs="Segoe UI"/>
          <w:sz w:val="20"/>
          <w:szCs w:val="20"/>
          <w:vertAlign w:val="superscript"/>
        </w:rPr>
        <w:t>ème</w:t>
      </w:r>
      <w:r w:rsidR="0025310D" w:rsidRPr="004E3E6E">
        <w:rPr>
          <w:rFonts w:ascii="Segoe UI" w:hAnsi="Segoe UI" w:cs="Segoe UI"/>
          <w:sz w:val="20"/>
          <w:szCs w:val="20"/>
        </w:rPr>
        <w:t xml:space="preserve"> rang avec une part de marché de 1.9%. </w:t>
      </w:r>
      <w:r w:rsidR="00507196" w:rsidRPr="004E3E6E">
        <w:rPr>
          <w:rFonts w:ascii="Segoe UI" w:hAnsi="Segoe UI" w:cs="Segoe UI"/>
          <w:sz w:val="20"/>
          <w:szCs w:val="20"/>
        </w:rPr>
        <w:t xml:space="preserve"> </w:t>
      </w:r>
    </w:p>
    <w:p w14:paraId="29F01290" w14:textId="2D318B91" w:rsidR="00507196" w:rsidRPr="004E3E6E" w:rsidRDefault="00BE6413" w:rsidP="004E3E6E">
      <w:pPr>
        <w:jc w:val="both"/>
        <w:rPr>
          <w:rFonts w:ascii="Segoe UI" w:hAnsi="Segoe UI" w:cs="Segoe UI"/>
          <w:sz w:val="20"/>
          <w:szCs w:val="20"/>
        </w:rPr>
      </w:pPr>
      <w:r w:rsidRPr="004E3E6E">
        <w:rPr>
          <w:rFonts w:ascii="Segoe UI" w:hAnsi="Segoe UI" w:cs="Segoe UI"/>
          <w:b/>
          <w:bCs/>
          <w:sz w:val="20"/>
          <w:szCs w:val="20"/>
        </w:rPr>
        <w:t>Les importations lettones ont légèrement diminué en 2023, de 12,5% par rapport à 2022 pour atteindre un montant de 23,2 Mds EUR</w:t>
      </w:r>
      <w:r w:rsidRPr="004E3E6E">
        <w:rPr>
          <w:rFonts w:ascii="Segoe UI" w:hAnsi="Segoe UI" w:cs="Segoe UI"/>
          <w:sz w:val="20"/>
          <w:szCs w:val="20"/>
        </w:rPr>
        <w:t>. Les principaux postes d’importation lettones sont les machines, appareils et matériels électriques et électroniques</w:t>
      </w:r>
      <w:r w:rsidR="007F5006" w:rsidRPr="004E3E6E">
        <w:rPr>
          <w:rFonts w:ascii="Segoe UI" w:hAnsi="Segoe UI" w:cs="Segoe UI"/>
          <w:sz w:val="20"/>
          <w:szCs w:val="20"/>
        </w:rPr>
        <w:t xml:space="preserve"> (19,3%), les véhicules de transport (13,2%), les ressources énergétiques (11,4% seulement en 2023 contre 21% en 2022), les produits</w:t>
      </w:r>
      <w:r w:rsidR="001E1B4B" w:rsidRPr="004E3E6E">
        <w:rPr>
          <w:rFonts w:ascii="Segoe UI" w:hAnsi="Segoe UI" w:cs="Segoe UI"/>
          <w:sz w:val="20"/>
          <w:szCs w:val="20"/>
        </w:rPr>
        <w:t xml:space="preserve"> de l’industrie</w:t>
      </w:r>
      <w:r w:rsidR="007F5006" w:rsidRPr="004E3E6E">
        <w:rPr>
          <w:rFonts w:ascii="Segoe UI" w:hAnsi="Segoe UI" w:cs="Segoe UI"/>
          <w:sz w:val="20"/>
          <w:szCs w:val="20"/>
        </w:rPr>
        <w:t xml:space="preserve"> chimique (10,2%)</w:t>
      </w:r>
      <w:r w:rsidR="001E1B4B" w:rsidRPr="004E3E6E">
        <w:rPr>
          <w:rFonts w:ascii="Segoe UI" w:hAnsi="Segoe UI" w:cs="Segoe UI"/>
          <w:sz w:val="20"/>
          <w:szCs w:val="20"/>
        </w:rPr>
        <w:t>, les produits agroalimentaires (9,5%).</w:t>
      </w:r>
    </w:p>
    <w:p w14:paraId="2996B3CF" w14:textId="77777777" w:rsidR="004E3E6E" w:rsidRPr="004E3E6E" w:rsidRDefault="005F6DA5" w:rsidP="004E3E6E">
      <w:pPr>
        <w:jc w:val="both"/>
        <w:rPr>
          <w:rFonts w:ascii="Segoe UI" w:hAnsi="Segoe UI" w:cs="Segoe UI"/>
          <w:sz w:val="20"/>
          <w:szCs w:val="20"/>
        </w:rPr>
      </w:pPr>
      <w:r w:rsidRPr="004E3E6E">
        <w:rPr>
          <w:rFonts w:ascii="Segoe UI" w:hAnsi="Segoe UI" w:cs="Segoe UI"/>
          <w:sz w:val="20"/>
          <w:szCs w:val="20"/>
        </w:rPr>
        <w:t xml:space="preserve">Les machines, appareils et matériels électriques et électroniques (4,5 Mds EUR) </w:t>
      </w:r>
      <w:r w:rsidR="00627E2D" w:rsidRPr="004E3E6E">
        <w:rPr>
          <w:rFonts w:ascii="Segoe UI" w:hAnsi="Segoe UI" w:cs="Segoe UI"/>
          <w:sz w:val="20"/>
          <w:szCs w:val="20"/>
        </w:rPr>
        <w:t xml:space="preserve">sont importés de Lituanie (14,3%), d’Allemagne (13%), de Pologne (10,2%) et de Chine (9,6%) principalement. </w:t>
      </w:r>
      <w:r w:rsidR="00DF5780" w:rsidRPr="004E3E6E">
        <w:rPr>
          <w:rFonts w:ascii="Segoe UI" w:hAnsi="Segoe UI" w:cs="Segoe UI"/>
          <w:sz w:val="20"/>
          <w:szCs w:val="20"/>
        </w:rPr>
        <w:t>Les</w:t>
      </w:r>
      <w:r w:rsidRPr="004E3E6E">
        <w:rPr>
          <w:rFonts w:ascii="Segoe UI" w:hAnsi="Segoe UI" w:cs="Segoe UI"/>
          <w:sz w:val="20"/>
          <w:szCs w:val="20"/>
        </w:rPr>
        <w:t xml:space="preserve"> plus importés</w:t>
      </w:r>
      <w:r w:rsidR="003D577B" w:rsidRPr="004E3E6E">
        <w:rPr>
          <w:rFonts w:ascii="Segoe UI" w:hAnsi="Segoe UI" w:cs="Segoe UI"/>
          <w:sz w:val="20"/>
          <w:szCs w:val="20"/>
        </w:rPr>
        <w:t xml:space="preserve"> sont les produits de télécommunication (14,9%)</w:t>
      </w:r>
      <w:r w:rsidR="0012421B" w:rsidRPr="004E3E6E">
        <w:rPr>
          <w:rFonts w:ascii="Segoe UI" w:hAnsi="Segoe UI" w:cs="Segoe UI"/>
          <w:sz w:val="20"/>
          <w:szCs w:val="20"/>
        </w:rPr>
        <w:t xml:space="preserve"> et </w:t>
      </w:r>
      <w:r w:rsidR="003D577B" w:rsidRPr="004E3E6E">
        <w:rPr>
          <w:rFonts w:ascii="Segoe UI" w:hAnsi="Segoe UI" w:cs="Segoe UI"/>
          <w:sz w:val="20"/>
          <w:szCs w:val="20"/>
        </w:rPr>
        <w:t>les produits informatiques (6,6%)</w:t>
      </w:r>
      <w:r w:rsidR="0012421B" w:rsidRPr="004E3E6E">
        <w:rPr>
          <w:rFonts w:ascii="Segoe UI" w:hAnsi="Segoe UI" w:cs="Segoe UI"/>
          <w:sz w:val="20"/>
          <w:szCs w:val="20"/>
        </w:rPr>
        <w:t>.</w:t>
      </w:r>
    </w:p>
    <w:p w14:paraId="6BFC3C04" w14:textId="108DC3A1" w:rsidR="00693387" w:rsidRPr="004E3E6E" w:rsidRDefault="00693387" w:rsidP="004E3E6E">
      <w:pPr>
        <w:jc w:val="both"/>
        <w:rPr>
          <w:rFonts w:ascii="Segoe UI" w:hAnsi="Segoe UI" w:cs="Segoe UI"/>
          <w:sz w:val="20"/>
          <w:szCs w:val="20"/>
        </w:rPr>
      </w:pPr>
      <w:r w:rsidRPr="004E3E6E">
        <w:rPr>
          <w:rFonts w:ascii="Segoe UI" w:hAnsi="Segoe UI" w:cs="Segoe UI"/>
          <w:sz w:val="20"/>
          <w:szCs w:val="20"/>
        </w:rPr>
        <w:t>Les équipements aérospatiaux représentent 26,7% des importations de véhicules, principalement en provenance du Canada (76,6%). Tandis que les produits automobiles représentent 68,1% des importations, en provenance principalement de l’Allemagne (33,4%) et de l’Estonie (17,4%).</w:t>
      </w:r>
    </w:p>
    <w:p w14:paraId="737E1BF5" w14:textId="2AD95494" w:rsidR="00420616" w:rsidRPr="007C1BCB" w:rsidRDefault="00BB13A4" w:rsidP="00637484">
      <w:pPr>
        <w:jc w:val="both"/>
        <w:rPr>
          <w:rFonts w:ascii="Segoe UI" w:eastAsia="SimSun" w:hAnsi="Segoe UI" w:cs="Segoe UI"/>
          <w:sz w:val="20"/>
          <w:szCs w:val="20"/>
        </w:rPr>
      </w:pPr>
      <w:r w:rsidRPr="004E3E6E">
        <w:rPr>
          <w:rFonts w:ascii="Segoe UI" w:hAnsi="Segoe UI" w:cs="Segoe UI"/>
          <w:b/>
          <w:bCs/>
          <w:sz w:val="20"/>
          <w:szCs w:val="20"/>
        </w:rPr>
        <w:t>Concernant les ressources énergétiques, une baisse significative de la valeur des</w:t>
      </w:r>
      <w:r w:rsidR="001C5CD7" w:rsidRPr="004E3E6E">
        <w:rPr>
          <w:rFonts w:ascii="Segoe UI" w:hAnsi="Segoe UI" w:cs="Segoe UI"/>
          <w:b/>
          <w:bCs/>
          <w:sz w:val="20"/>
          <w:szCs w:val="20"/>
        </w:rPr>
        <w:t xml:space="preserve"> importations</w:t>
      </w:r>
      <w:r w:rsidRPr="004E3E6E">
        <w:rPr>
          <w:rFonts w:ascii="Segoe UI" w:hAnsi="Segoe UI" w:cs="Segoe UI"/>
          <w:b/>
          <w:bCs/>
          <w:sz w:val="20"/>
          <w:szCs w:val="20"/>
        </w:rPr>
        <w:t xml:space="preserve"> a été observée</w:t>
      </w:r>
      <w:r w:rsidRPr="004E3E6E">
        <w:rPr>
          <w:rFonts w:ascii="Segoe UI" w:hAnsi="Segoe UI" w:cs="Segoe UI"/>
          <w:sz w:val="20"/>
          <w:szCs w:val="20"/>
        </w:rPr>
        <w:t>, passant de 5,5 Mds EUR en 2022 contre seulement 2,6 Mds EUR en 2023</w:t>
      </w:r>
      <w:r w:rsidR="001C5CD7" w:rsidRPr="004E3E6E">
        <w:rPr>
          <w:rFonts w:ascii="Segoe UI" w:hAnsi="Segoe UI" w:cs="Segoe UI"/>
          <w:sz w:val="20"/>
          <w:szCs w:val="20"/>
        </w:rPr>
        <w:t>. Les principales ressources importées sont les produits du pétrole (44,8%) provenant principalement de la Lituanie (64,9%) et de la Finlande (15,9%) ; le gaz naturel (28,4%) provenant majoritairement de la Lituanie (90,4%) ; et l’énergie électrique (14,7%), provenant principalement de l’Estonie (57,9%) et de la Lituanie (26,8%).</w:t>
      </w:r>
      <w:r w:rsidR="00C74F89" w:rsidRPr="004E3E6E">
        <w:rPr>
          <w:rFonts w:ascii="Segoe UI" w:hAnsi="Segoe UI" w:cs="Segoe UI"/>
          <w:sz w:val="20"/>
          <w:szCs w:val="20"/>
        </w:rPr>
        <w:t xml:space="preserve"> </w:t>
      </w:r>
      <w:r w:rsidR="00A905E5" w:rsidRPr="004E3E6E">
        <w:rPr>
          <w:rFonts w:ascii="Segoe UI" w:hAnsi="Segoe UI" w:cs="Segoe UI"/>
          <w:sz w:val="20"/>
          <w:szCs w:val="20"/>
        </w:rPr>
        <w:t>On observe également une diminution en volume, mais bien moins importante (-12,9% entre 2022 et 2023). La baisse de la valeur des importations peut s’expliquer par une diminution des prix des ressources énergétiques</w:t>
      </w:r>
      <w:r w:rsidR="00456FBF" w:rsidRPr="004E3E6E">
        <w:rPr>
          <w:rFonts w:ascii="Segoe UI" w:hAnsi="Segoe UI" w:cs="Segoe UI"/>
          <w:sz w:val="20"/>
          <w:szCs w:val="20"/>
        </w:rPr>
        <w:t xml:space="preserve"> qui avaient atteint </w:t>
      </w:r>
      <w:r w:rsidR="00490A23" w:rsidRPr="004E3E6E">
        <w:rPr>
          <w:rFonts w:ascii="Segoe UI" w:hAnsi="Segoe UI" w:cs="Segoe UI"/>
          <w:sz w:val="20"/>
          <w:szCs w:val="20"/>
        </w:rPr>
        <w:t>un</w:t>
      </w:r>
      <w:r w:rsidR="00456FBF" w:rsidRPr="004E3E6E">
        <w:rPr>
          <w:rFonts w:ascii="Segoe UI" w:hAnsi="Segoe UI" w:cs="Segoe UI"/>
          <w:sz w:val="20"/>
          <w:szCs w:val="20"/>
        </w:rPr>
        <w:t xml:space="preserve"> niveau</w:t>
      </w:r>
      <w:r w:rsidR="00741492" w:rsidRPr="004E3E6E">
        <w:rPr>
          <w:rFonts w:ascii="Segoe UI" w:hAnsi="Segoe UI" w:cs="Segoe UI"/>
          <w:sz w:val="20"/>
          <w:szCs w:val="20"/>
        </w:rPr>
        <w:t xml:space="preserve"> record</w:t>
      </w:r>
      <w:r w:rsidR="00456FBF" w:rsidRPr="004E3E6E">
        <w:rPr>
          <w:rFonts w:ascii="Segoe UI" w:hAnsi="Segoe UI" w:cs="Segoe UI"/>
          <w:sz w:val="20"/>
          <w:szCs w:val="20"/>
        </w:rPr>
        <w:t xml:space="preserve"> en 2022.</w:t>
      </w:r>
      <w:r w:rsidR="00F678A2" w:rsidRPr="004E3E6E">
        <w:rPr>
          <w:rFonts w:ascii="Segoe UI" w:hAnsi="Segoe UI" w:cs="Segoe UI"/>
          <w:sz w:val="20"/>
          <w:szCs w:val="20"/>
        </w:rPr>
        <w:t xml:space="preserve"> On note également un </w:t>
      </w:r>
      <w:r w:rsidR="00517C69" w:rsidRPr="004E3E6E">
        <w:rPr>
          <w:rFonts w:ascii="Segoe UI" w:hAnsi="Segoe UI" w:cs="Segoe UI"/>
          <w:sz w:val="20"/>
          <w:szCs w:val="20"/>
        </w:rPr>
        <w:t>déclassement de la Russie dans les importations lettones, suite à</w:t>
      </w:r>
      <w:r w:rsidR="00F678A2" w:rsidRPr="004E3E6E">
        <w:rPr>
          <w:rFonts w:ascii="Segoe UI" w:hAnsi="Segoe UI" w:cs="Segoe UI"/>
          <w:sz w:val="20"/>
          <w:szCs w:val="20"/>
        </w:rPr>
        <w:t xml:space="preserve"> la nouvelle stratégie de diversification/ indépendance énergétique de la Lettonie.</w:t>
      </w:r>
    </w:p>
    <w:sectPr w:rsidR="00420616" w:rsidRPr="007C1BCB" w:rsidSect="004E3E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07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BFB5" w14:textId="77777777" w:rsidR="00B60509" w:rsidRDefault="00B60509" w:rsidP="004432FE">
      <w:pPr>
        <w:spacing w:after="0" w:line="240" w:lineRule="auto"/>
      </w:pPr>
      <w:r>
        <w:separator/>
      </w:r>
    </w:p>
  </w:endnote>
  <w:endnote w:type="continuationSeparator" w:id="0">
    <w:p w14:paraId="190CEF5B" w14:textId="77777777" w:rsidR="00B60509" w:rsidRDefault="00B60509" w:rsidP="0044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277298"/>
      <w:docPartObj>
        <w:docPartGallery w:val="Page Numbers (Bottom of Page)"/>
        <w:docPartUnique/>
      </w:docPartObj>
    </w:sdtPr>
    <w:sdtEndPr/>
    <w:sdtContent>
      <w:p w14:paraId="0C1E148F" w14:textId="77777777" w:rsidR="00F025C1" w:rsidRDefault="00F025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20">
          <w:rPr>
            <w:noProof/>
          </w:rPr>
          <w:t>2</w:t>
        </w:r>
        <w:r>
          <w:fldChar w:fldCharType="end"/>
        </w:r>
      </w:p>
    </w:sdtContent>
  </w:sdt>
  <w:p w14:paraId="79075922" w14:textId="77777777" w:rsidR="004432FE" w:rsidRDefault="004432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7E2E" w14:textId="77777777" w:rsidR="00ED108C" w:rsidRDefault="00ED108C" w:rsidP="007E6B2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4032" w14:textId="77777777" w:rsidR="00B60509" w:rsidRDefault="00B60509" w:rsidP="004432FE">
      <w:pPr>
        <w:spacing w:after="0" w:line="240" w:lineRule="auto"/>
      </w:pPr>
      <w:r>
        <w:separator/>
      </w:r>
    </w:p>
  </w:footnote>
  <w:footnote w:type="continuationSeparator" w:id="0">
    <w:p w14:paraId="449ED904" w14:textId="77777777" w:rsidR="00B60509" w:rsidRDefault="00B60509" w:rsidP="0044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A09E" w14:textId="77777777" w:rsidR="004432FE" w:rsidRDefault="004432FE" w:rsidP="004432FE">
    <w:pPr>
      <w:pStyle w:val="En-tte"/>
    </w:pPr>
  </w:p>
  <w:p w14:paraId="20019016" w14:textId="77777777" w:rsidR="004432FE" w:rsidRDefault="004432FE" w:rsidP="004432F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D289" w14:textId="77777777" w:rsidR="00AF3E63" w:rsidRDefault="00AF3E63" w:rsidP="00AF3E63">
    <w:pPr>
      <w:pStyle w:val="Intituldirection"/>
      <w:rPr>
        <w:lang w:val="fr-FR"/>
      </w:rPr>
    </w:pPr>
  </w:p>
  <w:p w14:paraId="1288BD38" w14:textId="5C9864D9" w:rsidR="00AF3E63" w:rsidRDefault="00E135EC" w:rsidP="00AF3E63">
    <w:pPr>
      <w:pStyle w:val="Intituldirection"/>
      <w:rPr>
        <w:lang w:val="fr-FR"/>
      </w:rPr>
    </w:pPr>
    <w:r>
      <w:rPr>
        <w:b w:val="0"/>
        <w:bCs w:val="0"/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0A40BEBF" wp14:editId="5D61CFE4">
          <wp:simplePos x="0" y="0"/>
          <wp:positionH relativeFrom="margin">
            <wp:align>left</wp:align>
          </wp:positionH>
          <wp:positionV relativeFrom="page">
            <wp:posOffset>635692</wp:posOffset>
          </wp:positionV>
          <wp:extent cx="1616149" cy="911005"/>
          <wp:effectExtent l="0" t="0" r="3175" b="381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149" cy="91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FD31B" w14:textId="6BE573CD" w:rsidR="00AF3E63" w:rsidRPr="003D4054" w:rsidRDefault="00AF3E63" w:rsidP="00AF3E63">
    <w:pPr>
      <w:pStyle w:val="Intituldirection"/>
      <w:rPr>
        <w:lang w:val="fr-FR"/>
      </w:rPr>
    </w:pPr>
    <w:r>
      <w:rPr>
        <w:lang w:val="fr-FR"/>
      </w:rPr>
      <w:t>Direction générale du Trésor</w:t>
    </w:r>
  </w:p>
  <w:p w14:paraId="19E26A68" w14:textId="77777777" w:rsidR="00AF3E63" w:rsidRDefault="00AF3E63">
    <w:pPr>
      <w:pStyle w:val="En-tte"/>
    </w:pPr>
  </w:p>
  <w:p w14:paraId="1E18E915" w14:textId="77777777" w:rsidR="004432FE" w:rsidRDefault="004432FE" w:rsidP="007F3C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67A"/>
    <w:multiLevelType w:val="hybridMultilevel"/>
    <w:tmpl w:val="78F24274"/>
    <w:lvl w:ilvl="0" w:tplc="65D87EEA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451"/>
    <w:multiLevelType w:val="hybridMultilevel"/>
    <w:tmpl w:val="C1F689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6626"/>
    <w:multiLevelType w:val="hybridMultilevel"/>
    <w:tmpl w:val="167E1E8A"/>
    <w:lvl w:ilvl="0" w:tplc="1F961EDC">
      <w:start w:val="1"/>
      <w:numFmt w:val="bullet"/>
      <w:pStyle w:val="Briefinglis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600AE"/>
    <w:multiLevelType w:val="hybridMultilevel"/>
    <w:tmpl w:val="7E48EF44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3A84"/>
    <w:multiLevelType w:val="hybridMultilevel"/>
    <w:tmpl w:val="5538C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7275"/>
    <w:multiLevelType w:val="hybridMultilevel"/>
    <w:tmpl w:val="4EF8D602"/>
    <w:lvl w:ilvl="0" w:tplc="7D9A0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CE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51D4"/>
    <w:multiLevelType w:val="hybridMultilevel"/>
    <w:tmpl w:val="B2F295BC"/>
    <w:lvl w:ilvl="0" w:tplc="2CD0907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9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80C1E"/>
    <w:multiLevelType w:val="hybridMultilevel"/>
    <w:tmpl w:val="7B140AE6"/>
    <w:lvl w:ilvl="0" w:tplc="52342576">
      <w:start w:val="202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6CE5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F79ED"/>
    <w:multiLevelType w:val="hybridMultilevel"/>
    <w:tmpl w:val="9D96E9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490A95"/>
    <w:multiLevelType w:val="hybridMultilevel"/>
    <w:tmpl w:val="B2F295BC"/>
    <w:lvl w:ilvl="0" w:tplc="2CD0907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9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029BD"/>
    <w:multiLevelType w:val="hybridMultilevel"/>
    <w:tmpl w:val="7E889CAE"/>
    <w:lvl w:ilvl="0" w:tplc="13307A7C">
      <w:start w:val="1"/>
      <w:numFmt w:val="bullet"/>
      <w:lvlText w:val="-"/>
      <w:lvlJc w:val="left"/>
      <w:pPr>
        <w:ind w:left="720" w:hanging="360"/>
      </w:pPr>
      <w:rPr>
        <w:rFonts w:ascii="Segoe UI" w:eastAsia="SimSu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FE"/>
    <w:rsid w:val="00000994"/>
    <w:rsid w:val="00000BC3"/>
    <w:rsid w:val="0000136A"/>
    <w:rsid w:val="00003B44"/>
    <w:rsid w:val="00011148"/>
    <w:rsid w:val="0002486A"/>
    <w:rsid w:val="000251B6"/>
    <w:rsid w:val="00025457"/>
    <w:rsid w:val="00025B69"/>
    <w:rsid w:val="00032C7C"/>
    <w:rsid w:val="0004375D"/>
    <w:rsid w:val="00043B26"/>
    <w:rsid w:val="00044C9A"/>
    <w:rsid w:val="00046332"/>
    <w:rsid w:val="00054068"/>
    <w:rsid w:val="000559E9"/>
    <w:rsid w:val="00056563"/>
    <w:rsid w:val="00062CB4"/>
    <w:rsid w:val="00064C8E"/>
    <w:rsid w:val="000661D6"/>
    <w:rsid w:val="00066B3E"/>
    <w:rsid w:val="00066EFD"/>
    <w:rsid w:val="00067AA7"/>
    <w:rsid w:val="00072590"/>
    <w:rsid w:val="00072826"/>
    <w:rsid w:val="0007485A"/>
    <w:rsid w:val="000754FA"/>
    <w:rsid w:val="00076789"/>
    <w:rsid w:val="000804EF"/>
    <w:rsid w:val="00081D31"/>
    <w:rsid w:val="00082DF1"/>
    <w:rsid w:val="00087900"/>
    <w:rsid w:val="00090930"/>
    <w:rsid w:val="000916E4"/>
    <w:rsid w:val="00091B4F"/>
    <w:rsid w:val="00096441"/>
    <w:rsid w:val="00096F4C"/>
    <w:rsid w:val="00097407"/>
    <w:rsid w:val="000A0363"/>
    <w:rsid w:val="000A05B3"/>
    <w:rsid w:val="000A2747"/>
    <w:rsid w:val="000A5428"/>
    <w:rsid w:val="000A5730"/>
    <w:rsid w:val="000B17BF"/>
    <w:rsid w:val="000B2495"/>
    <w:rsid w:val="000B293A"/>
    <w:rsid w:val="000B2A72"/>
    <w:rsid w:val="000C1928"/>
    <w:rsid w:val="000C25A1"/>
    <w:rsid w:val="000C7323"/>
    <w:rsid w:val="000D2539"/>
    <w:rsid w:val="000D2ADD"/>
    <w:rsid w:val="000D3B0A"/>
    <w:rsid w:val="000D77B7"/>
    <w:rsid w:val="000D7BD3"/>
    <w:rsid w:val="000E2FAD"/>
    <w:rsid w:val="000E489F"/>
    <w:rsid w:val="000E560E"/>
    <w:rsid w:val="000E7BFC"/>
    <w:rsid w:val="000F0752"/>
    <w:rsid w:val="000F0A7D"/>
    <w:rsid w:val="000F1262"/>
    <w:rsid w:val="000F2F89"/>
    <w:rsid w:val="000F623B"/>
    <w:rsid w:val="000F79B1"/>
    <w:rsid w:val="00100098"/>
    <w:rsid w:val="00102343"/>
    <w:rsid w:val="00105058"/>
    <w:rsid w:val="001114EF"/>
    <w:rsid w:val="001126A5"/>
    <w:rsid w:val="00112942"/>
    <w:rsid w:val="00112970"/>
    <w:rsid w:val="00115146"/>
    <w:rsid w:val="00116207"/>
    <w:rsid w:val="00121CA5"/>
    <w:rsid w:val="0012421B"/>
    <w:rsid w:val="001247C3"/>
    <w:rsid w:val="00124AFF"/>
    <w:rsid w:val="00126A87"/>
    <w:rsid w:val="001308DE"/>
    <w:rsid w:val="00136AE3"/>
    <w:rsid w:val="00143106"/>
    <w:rsid w:val="00144C7C"/>
    <w:rsid w:val="00146987"/>
    <w:rsid w:val="00146D27"/>
    <w:rsid w:val="0015038B"/>
    <w:rsid w:val="0015590C"/>
    <w:rsid w:val="00156D36"/>
    <w:rsid w:val="001633C6"/>
    <w:rsid w:val="00165084"/>
    <w:rsid w:val="00165FE3"/>
    <w:rsid w:val="00166083"/>
    <w:rsid w:val="00166090"/>
    <w:rsid w:val="00166944"/>
    <w:rsid w:val="00166B0A"/>
    <w:rsid w:val="00167090"/>
    <w:rsid w:val="00173044"/>
    <w:rsid w:val="00177729"/>
    <w:rsid w:val="00181BA8"/>
    <w:rsid w:val="00182FF1"/>
    <w:rsid w:val="00193855"/>
    <w:rsid w:val="00197336"/>
    <w:rsid w:val="0019765C"/>
    <w:rsid w:val="001A0002"/>
    <w:rsid w:val="001A6A93"/>
    <w:rsid w:val="001A7980"/>
    <w:rsid w:val="001B7F35"/>
    <w:rsid w:val="001C2FFA"/>
    <w:rsid w:val="001C39E6"/>
    <w:rsid w:val="001C4147"/>
    <w:rsid w:val="001C4BB1"/>
    <w:rsid w:val="001C5CD7"/>
    <w:rsid w:val="001D5F48"/>
    <w:rsid w:val="001D722F"/>
    <w:rsid w:val="001D7685"/>
    <w:rsid w:val="001D7C32"/>
    <w:rsid w:val="001E03F3"/>
    <w:rsid w:val="001E0F57"/>
    <w:rsid w:val="001E1B4B"/>
    <w:rsid w:val="001E5410"/>
    <w:rsid w:val="001E6AAB"/>
    <w:rsid w:val="001F27B5"/>
    <w:rsid w:val="001F2E85"/>
    <w:rsid w:val="001F4087"/>
    <w:rsid w:val="0020455E"/>
    <w:rsid w:val="00210E50"/>
    <w:rsid w:val="00220104"/>
    <w:rsid w:val="00220A0A"/>
    <w:rsid w:val="00220BB1"/>
    <w:rsid w:val="00221F01"/>
    <w:rsid w:val="002234FE"/>
    <w:rsid w:val="002253E8"/>
    <w:rsid w:val="002256C4"/>
    <w:rsid w:val="00230B5C"/>
    <w:rsid w:val="00232460"/>
    <w:rsid w:val="00235E6A"/>
    <w:rsid w:val="002410EA"/>
    <w:rsid w:val="00243C64"/>
    <w:rsid w:val="00246C07"/>
    <w:rsid w:val="002516F8"/>
    <w:rsid w:val="00251E6B"/>
    <w:rsid w:val="0025310D"/>
    <w:rsid w:val="00253E20"/>
    <w:rsid w:val="0025425C"/>
    <w:rsid w:val="00263D90"/>
    <w:rsid w:val="00267D5A"/>
    <w:rsid w:val="0027402A"/>
    <w:rsid w:val="00274C09"/>
    <w:rsid w:val="00285698"/>
    <w:rsid w:val="00285EDC"/>
    <w:rsid w:val="0029281B"/>
    <w:rsid w:val="002A31DC"/>
    <w:rsid w:val="002A32FE"/>
    <w:rsid w:val="002A33BF"/>
    <w:rsid w:val="002A5609"/>
    <w:rsid w:val="002B176F"/>
    <w:rsid w:val="002B2D95"/>
    <w:rsid w:val="002B4C43"/>
    <w:rsid w:val="002B783D"/>
    <w:rsid w:val="002C4A96"/>
    <w:rsid w:val="002C5A54"/>
    <w:rsid w:val="002C7A16"/>
    <w:rsid w:val="002E1710"/>
    <w:rsid w:val="002E2D74"/>
    <w:rsid w:val="002E4E37"/>
    <w:rsid w:val="002E5812"/>
    <w:rsid w:val="002E7C55"/>
    <w:rsid w:val="002F26EF"/>
    <w:rsid w:val="002F2D34"/>
    <w:rsid w:val="00301170"/>
    <w:rsid w:val="003022E8"/>
    <w:rsid w:val="00303429"/>
    <w:rsid w:val="00306603"/>
    <w:rsid w:val="0031061E"/>
    <w:rsid w:val="00310778"/>
    <w:rsid w:val="00320703"/>
    <w:rsid w:val="00320ED6"/>
    <w:rsid w:val="00321255"/>
    <w:rsid w:val="0032197D"/>
    <w:rsid w:val="00321CED"/>
    <w:rsid w:val="00324257"/>
    <w:rsid w:val="003245EC"/>
    <w:rsid w:val="00324B57"/>
    <w:rsid w:val="00331EAB"/>
    <w:rsid w:val="00337147"/>
    <w:rsid w:val="0033797D"/>
    <w:rsid w:val="0034080E"/>
    <w:rsid w:val="00340904"/>
    <w:rsid w:val="00343C49"/>
    <w:rsid w:val="00346661"/>
    <w:rsid w:val="0034707E"/>
    <w:rsid w:val="003509AF"/>
    <w:rsid w:val="00352A3B"/>
    <w:rsid w:val="00353EAA"/>
    <w:rsid w:val="00354176"/>
    <w:rsid w:val="00354C34"/>
    <w:rsid w:val="00356C30"/>
    <w:rsid w:val="00365295"/>
    <w:rsid w:val="003728C0"/>
    <w:rsid w:val="00373532"/>
    <w:rsid w:val="00373C78"/>
    <w:rsid w:val="00382580"/>
    <w:rsid w:val="00387220"/>
    <w:rsid w:val="00391E7F"/>
    <w:rsid w:val="00397DBB"/>
    <w:rsid w:val="003A2B70"/>
    <w:rsid w:val="003A2EA3"/>
    <w:rsid w:val="003A5F72"/>
    <w:rsid w:val="003B22DE"/>
    <w:rsid w:val="003B4D41"/>
    <w:rsid w:val="003B6821"/>
    <w:rsid w:val="003B6CCB"/>
    <w:rsid w:val="003C1760"/>
    <w:rsid w:val="003C355B"/>
    <w:rsid w:val="003C62C3"/>
    <w:rsid w:val="003D0A8B"/>
    <w:rsid w:val="003D2C95"/>
    <w:rsid w:val="003D5002"/>
    <w:rsid w:val="003D577B"/>
    <w:rsid w:val="003D5D43"/>
    <w:rsid w:val="003E1466"/>
    <w:rsid w:val="003E33FB"/>
    <w:rsid w:val="003E6554"/>
    <w:rsid w:val="003F047B"/>
    <w:rsid w:val="003F6A05"/>
    <w:rsid w:val="003F6BFC"/>
    <w:rsid w:val="003F724E"/>
    <w:rsid w:val="004044B0"/>
    <w:rsid w:val="00405BE1"/>
    <w:rsid w:val="00406006"/>
    <w:rsid w:val="00412A6D"/>
    <w:rsid w:val="00413FC8"/>
    <w:rsid w:val="0041696F"/>
    <w:rsid w:val="00420616"/>
    <w:rsid w:val="00423592"/>
    <w:rsid w:val="00424861"/>
    <w:rsid w:val="00426235"/>
    <w:rsid w:val="0042683F"/>
    <w:rsid w:val="00427704"/>
    <w:rsid w:val="00435251"/>
    <w:rsid w:val="00436F64"/>
    <w:rsid w:val="00437566"/>
    <w:rsid w:val="004432FE"/>
    <w:rsid w:val="0044421D"/>
    <w:rsid w:val="00450083"/>
    <w:rsid w:val="004518B2"/>
    <w:rsid w:val="00454123"/>
    <w:rsid w:val="00455431"/>
    <w:rsid w:val="00456FBF"/>
    <w:rsid w:val="00464034"/>
    <w:rsid w:val="0046468E"/>
    <w:rsid w:val="00464A76"/>
    <w:rsid w:val="00466BB0"/>
    <w:rsid w:val="004720A3"/>
    <w:rsid w:val="00472B40"/>
    <w:rsid w:val="00472BB3"/>
    <w:rsid w:val="004730DD"/>
    <w:rsid w:val="0047479D"/>
    <w:rsid w:val="0047498D"/>
    <w:rsid w:val="0048029D"/>
    <w:rsid w:val="00482E36"/>
    <w:rsid w:val="00485A26"/>
    <w:rsid w:val="00486611"/>
    <w:rsid w:val="00490A23"/>
    <w:rsid w:val="0049283B"/>
    <w:rsid w:val="00492AE3"/>
    <w:rsid w:val="00492D0E"/>
    <w:rsid w:val="00496829"/>
    <w:rsid w:val="004A3DC8"/>
    <w:rsid w:val="004A51AC"/>
    <w:rsid w:val="004A6DDA"/>
    <w:rsid w:val="004B753B"/>
    <w:rsid w:val="004C530A"/>
    <w:rsid w:val="004C5568"/>
    <w:rsid w:val="004C6AF7"/>
    <w:rsid w:val="004D1033"/>
    <w:rsid w:val="004E165B"/>
    <w:rsid w:val="004E2264"/>
    <w:rsid w:val="004E22B6"/>
    <w:rsid w:val="004E2F91"/>
    <w:rsid w:val="004E3E6E"/>
    <w:rsid w:val="004F04C5"/>
    <w:rsid w:val="004F1A52"/>
    <w:rsid w:val="004F4C97"/>
    <w:rsid w:val="004F6F24"/>
    <w:rsid w:val="004F77CE"/>
    <w:rsid w:val="00501BDD"/>
    <w:rsid w:val="00503182"/>
    <w:rsid w:val="00505B30"/>
    <w:rsid w:val="00507196"/>
    <w:rsid w:val="0050727F"/>
    <w:rsid w:val="00512D62"/>
    <w:rsid w:val="005142E3"/>
    <w:rsid w:val="00514EE0"/>
    <w:rsid w:val="0051559A"/>
    <w:rsid w:val="00517C69"/>
    <w:rsid w:val="0052672E"/>
    <w:rsid w:val="00537B67"/>
    <w:rsid w:val="00540C2F"/>
    <w:rsid w:val="00547BF9"/>
    <w:rsid w:val="005513C5"/>
    <w:rsid w:val="00552D18"/>
    <w:rsid w:val="005533D9"/>
    <w:rsid w:val="005560D7"/>
    <w:rsid w:val="00556172"/>
    <w:rsid w:val="005625AD"/>
    <w:rsid w:val="00563305"/>
    <w:rsid w:val="00565F02"/>
    <w:rsid w:val="005675AC"/>
    <w:rsid w:val="00572F47"/>
    <w:rsid w:val="00573A68"/>
    <w:rsid w:val="00576040"/>
    <w:rsid w:val="00576A18"/>
    <w:rsid w:val="00576F4A"/>
    <w:rsid w:val="00580878"/>
    <w:rsid w:val="00583747"/>
    <w:rsid w:val="005851FC"/>
    <w:rsid w:val="00592CED"/>
    <w:rsid w:val="0059320A"/>
    <w:rsid w:val="0059434A"/>
    <w:rsid w:val="005A3244"/>
    <w:rsid w:val="005A4237"/>
    <w:rsid w:val="005A5DC0"/>
    <w:rsid w:val="005B2216"/>
    <w:rsid w:val="005B2FED"/>
    <w:rsid w:val="005B797B"/>
    <w:rsid w:val="005C0093"/>
    <w:rsid w:val="005C0D07"/>
    <w:rsid w:val="005C2325"/>
    <w:rsid w:val="005C2C30"/>
    <w:rsid w:val="005C3BD1"/>
    <w:rsid w:val="005C443D"/>
    <w:rsid w:val="005C5173"/>
    <w:rsid w:val="005D0C2A"/>
    <w:rsid w:val="005D3B1F"/>
    <w:rsid w:val="005D497F"/>
    <w:rsid w:val="005D4B8D"/>
    <w:rsid w:val="005D79A8"/>
    <w:rsid w:val="005E0384"/>
    <w:rsid w:val="005E3C11"/>
    <w:rsid w:val="005E6D4B"/>
    <w:rsid w:val="005F3575"/>
    <w:rsid w:val="005F6DA5"/>
    <w:rsid w:val="00601F03"/>
    <w:rsid w:val="00604DF8"/>
    <w:rsid w:val="00606AB0"/>
    <w:rsid w:val="006124C7"/>
    <w:rsid w:val="0061254C"/>
    <w:rsid w:val="0061505C"/>
    <w:rsid w:val="0061647F"/>
    <w:rsid w:val="00617AEF"/>
    <w:rsid w:val="00623FCF"/>
    <w:rsid w:val="006263CE"/>
    <w:rsid w:val="00627E2D"/>
    <w:rsid w:val="006330E9"/>
    <w:rsid w:val="00637484"/>
    <w:rsid w:val="0064423C"/>
    <w:rsid w:val="006507B6"/>
    <w:rsid w:val="006577A8"/>
    <w:rsid w:val="0066261B"/>
    <w:rsid w:val="00662F34"/>
    <w:rsid w:val="00663CC5"/>
    <w:rsid w:val="00663F88"/>
    <w:rsid w:val="0066431F"/>
    <w:rsid w:val="00666325"/>
    <w:rsid w:val="00666DD1"/>
    <w:rsid w:val="00667641"/>
    <w:rsid w:val="00671AF9"/>
    <w:rsid w:val="00673CCE"/>
    <w:rsid w:val="00675764"/>
    <w:rsid w:val="006807CE"/>
    <w:rsid w:val="006821D9"/>
    <w:rsid w:val="006838ED"/>
    <w:rsid w:val="00684271"/>
    <w:rsid w:val="00684D25"/>
    <w:rsid w:val="0068627A"/>
    <w:rsid w:val="0069193B"/>
    <w:rsid w:val="00691F0F"/>
    <w:rsid w:val="006928E0"/>
    <w:rsid w:val="00693387"/>
    <w:rsid w:val="00693FC5"/>
    <w:rsid w:val="00694599"/>
    <w:rsid w:val="006A316A"/>
    <w:rsid w:val="006A495A"/>
    <w:rsid w:val="006A538C"/>
    <w:rsid w:val="006A5554"/>
    <w:rsid w:val="006A6000"/>
    <w:rsid w:val="006A6814"/>
    <w:rsid w:val="006A76F7"/>
    <w:rsid w:val="006B08C3"/>
    <w:rsid w:val="006B4F87"/>
    <w:rsid w:val="006B5203"/>
    <w:rsid w:val="006B5DE0"/>
    <w:rsid w:val="006B7138"/>
    <w:rsid w:val="006C2EB8"/>
    <w:rsid w:val="006C4407"/>
    <w:rsid w:val="006C521C"/>
    <w:rsid w:val="006C6D3A"/>
    <w:rsid w:val="006C7CC9"/>
    <w:rsid w:val="006D03B2"/>
    <w:rsid w:val="006D04EB"/>
    <w:rsid w:val="006D634A"/>
    <w:rsid w:val="006D6DE6"/>
    <w:rsid w:val="006E0DA0"/>
    <w:rsid w:val="006E1E59"/>
    <w:rsid w:val="006E3EAB"/>
    <w:rsid w:val="006E7ADF"/>
    <w:rsid w:val="006F3FEF"/>
    <w:rsid w:val="006F4F3C"/>
    <w:rsid w:val="006F6C73"/>
    <w:rsid w:val="00704771"/>
    <w:rsid w:val="007122F1"/>
    <w:rsid w:val="00715388"/>
    <w:rsid w:val="00716398"/>
    <w:rsid w:val="00720E93"/>
    <w:rsid w:val="007213F6"/>
    <w:rsid w:val="00723913"/>
    <w:rsid w:val="007248A2"/>
    <w:rsid w:val="00731485"/>
    <w:rsid w:val="00732FFD"/>
    <w:rsid w:val="007408A9"/>
    <w:rsid w:val="00741492"/>
    <w:rsid w:val="00743691"/>
    <w:rsid w:val="00743966"/>
    <w:rsid w:val="007463DB"/>
    <w:rsid w:val="00747AB9"/>
    <w:rsid w:val="00747E09"/>
    <w:rsid w:val="00754AF6"/>
    <w:rsid w:val="007566AA"/>
    <w:rsid w:val="00756EC2"/>
    <w:rsid w:val="00757050"/>
    <w:rsid w:val="007574EE"/>
    <w:rsid w:val="0076177F"/>
    <w:rsid w:val="00761C2B"/>
    <w:rsid w:val="00762835"/>
    <w:rsid w:val="00766471"/>
    <w:rsid w:val="00767B7D"/>
    <w:rsid w:val="00774FEA"/>
    <w:rsid w:val="00775F84"/>
    <w:rsid w:val="00777E68"/>
    <w:rsid w:val="007838F1"/>
    <w:rsid w:val="00795314"/>
    <w:rsid w:val="007A516F"/>
    <w:rsid w:val="007B2D94"/>
    <w:rsid w:val="007B316C"/>
    <w:rsid w:val="007B7023"/>
    <w:rsid w:val="007C1BCB"/>
    <w:rsid w:val="007C5E5D"/>
    <w:rsid w:val="007C759A"/>
    <w:rsid w:val="007D348A"/>
    <w:rsid w:val="007D4B50"/>
    <w:rsid w:val="007D4E48"/>
    <w:rsid w:val="007D6C6B"/>
    <w:rsid w:val="007E0350"/>
    <w:rsid w:val="007E08D9"/>
    <w:rsid w:val="007E0CA8"/>
    <w:rsid w:val="007E55DA"/>
    <w:rsid w:val="007E6B29"/>
    <w:rsid w:val="007E7BA2"/>
    <w:rsid w:val="007F3CB4"/>
    <w:rsid w:val="007F5006"/>
    <w:rsid w:val="007F565F"/>
    <w:rsid w:val="00802533"/>
    <w:rsid w:val="008106C3"/>
    <w:rsid w:val="0081436F"/>
    <w:rsid w:val="00814BA9"/>
    <w:rsid w:val="008176CB"/>
    <w:rsid w:val="008201D3"/>
    <w:rsid w:val="00820F08"/>
    <w:rsid w:val="008247C9"/>
    <w:rsid w:val="00824AAC"/>
    <w:rsid w:val="008258C4"/>
    <w:rsid w:val="00826689"/>
    <w:rsid w:val="008323D7"/>
    <w:rsid w:val="00832432"/>
    <w:rsid w:val="00832DA4"/>
    <w:rsid w:val="00835574"/>
    <w:rsid w:val="0083629F"/>
    <w:rsid w:val="0084232E"/>
    <w:rsid w:val="0084296F"/>
    <w:rsid w:val="00842D11"/>
    <w:rsid w:val="00843BB8"/>
    <w:rsid w:val="00847DA5"/>
    <w:rsid w:val="00853DCA"/>
    <w:rsid w:val="0085704B"/>
    <w:rsid w:val="00862CC0"/>
    <w:rsid w:val="008641D5"/>
    <w:rsid w:val="00864659"/>
    <w:rsid w:val="008700BD"/>
    <w:rsid w:val="0087042A"/>
    <w:rsid w:val="00874E5D"/>
    <w:rsid w:val="00876692"/>
    <w:rsid w:val="008774FB"/>
    <w:rsid w:val="00877DAC"/>
    <w:rsid w:val="00880AD6"/>
    <w:rsid w:val="0088120D"/>
    <w:rsid w:val="008834F5"/>
    <w:rsid w:val="00883594"/>
    <w:rsid w:val="00884318"/>
    <w:rsid w:val="008921A3"/>
    <w:rsid w:val="00897A0B"/>
    <w:rsid w:val="008A120A"/>
    <w:rsid w:val="008A1326"/>
    <w:rsid w:val="008A1CE9"/>
    <w:rsid w:val="008A58C2"/>
    <w:rsid w:val="008A5BDA"/>
    <w:rsid w:val="008B0062"/>
    <w:rsid w:val="008B0425"/>
    <w:rsid w:val="008B0DFD"/>
    <w:rsid w:val="008B17AA"/>
    <w:rsid w:val="008C1CEF"/>
    <w:rsid w:val="008C21F7"/>
    <w:rsid w:val="008C40AD"/>
    <w:rsid w:val="008C7649"/>
    <w:rsid w:val="008D37D0"/>
    <w:rsid w:val="008D3F6C"/>
    <w:rsid w:val="008D659B"/>
    <w:rsid w:val="008E3583"/>
    <w:rsid w:val="008E56EF"/>
    <w:rsid w:val="008F1898"/>
    <w:rsid w:val="008F2904"/>
    <w:rsid w:val="008F530E"/>
    <w:rsid w:val="00900DE2"/>
    <w:rsid w:val="00901B29"/>
    <w:rsid w:val="009044CB"/>
    <w:rsid w:val="00904B2D"/>
    <w:rsid w:val="00904EBC"/>
    <w:rsid w:val="009054F8"/>
    <w:rsid w:val="00905E46"/>
    <w:rsid w:val="00906A61"/>
    <w:rsid w:val="00910510"/>
    <w:rsid w:val="00911D39"/>
    <w:rsid w:val="00915E62"/>
    <w:rsid w:val="00916801"/>
    <w:rsid w:val="00920410"/>
    <w:rsid w:val="009225E4"/>
    <w:rsid w:val="0092651B"/>
    <w:rsid w:val="00927694"/>
    <w:rsid w:val="00932708"/>
    <w:rsid w:val="00934EF6"/>
    <w:rsid w:val="00937E97"/>
    <w:rsid w:val="00941B2C"/>
    <w:rsid w:val="0094230A"/>
    <w:rsid w:val="00942624"/>
    <w:rsid w:val="009448FB"/>
    <w:rsid w:val="00944AA6"/>
    <w:rsid w:val="0094620C"/>
    <w:rsid w:val="00951F70"/>
    <w:rsid w:val="00953FB8"/>
    <w:rsid w:val="00955365"/>
    <w:rsid w:val="00955647"/>
    <w:rsid w:val="0096054F"/>
    <w:rsid w:val="0096062F"/>
    <w:rsid w:val="00961ADF"/>
    <w:rsid w:val="00963B41"/>
    <w:rsid w:val="00972A5D"/>
    <w:rsid w:val="00973D2F"/>
    <w:rsid w:val="00981FB4"/>
    <w:rsid w:val="0098434D"/>
    <w:rsid w:val="0098457F"/>
    <w:rsid w:val="00987E97"/>
    <w:rsid w:val="00990994"/>
    <w:rsid w:val="00990DEF"/>
    <w:rsid w:val="009919AE"/>
    <w:rsid w:val="00991BF9"/>
    <w:rsid w:val="00993E6B"/>
    <w:rsid w:val="0099478D"/>
    <w:rsid w:val="00994AF7"/>
    <w:rsid w:val="009951ED"/>
    <w:rsid w:val="009966C1"/>
    <w:rsid w:val="009A0BB0"/>
    <w:rsid w:val="009A1846"/>
    <w:rsid w:val="009A324C"/>
    <w:rsid w:val="009A441D"/>
    <w:rsid w:val="009A71EB"/>
    <w:rsid w:val="009A7651"/>
    <w:rsid w:val="009B00CF"/>
    <w:rsid w:val="009B311D"/>
    <w:rsid w:val="009B31E9"/>
    <w:rsid w:val="009B62E2"/>
    <w:rsid w:val="009B7C6D"/>
    <w:rsid w:val="009B7CD3"/>
    <w:rsid w:val="009D0476"/>
    <w:rsid w:val="009D0988"/>
    <w:rsid w:val="009D335E"/>
    <w:rsid w:val="009D4498"/>
    <w:rsid w:val="009D5C8E"/>
    <w:rsid w:val="009D6EA6"/>
    <w:rsid w:val="009D79D3"/>
    <w:rsid w:val="009E0952"/>
    <w:rsid w:val="009E16F0"/>
    <w:rsid w:val="009F133F"/>
    <w:rsid w:val="009F2D4E"/>
    <w:rsid w:val="009F52F5"/>
    <w:rsid w:val="009F659C"/>
    <w:rsid w:val="00A00983"/>
    <w:rsid w:val="00A00C1C"/>
    <w:rsid w:val="00A013ED"/>
    <w:rsid w:val="00A07D52"/>
    <w:rsid w:val="00A15AFF"/>
    <w:rsid w:val="00A16A1F"/>
    <w:rsid w:val="00A16B7A"/>
    <w:rsid w:val="00A22BC4"/>
    <w:rsid w:val="00A27567"/>
    <w:rsid w:val="00A27D09"/>
    <w:rsid w:val="00A32B25"/>
    <w:rsid w:val="00A379EB"/>
    <w:rsid w:val="00A47543"/>
    <w:rsid w:val="00A47B70"/>
    <w:rsid w:val="00A47D05"/>
    <w:rsid w:val="00A528FD"/>
    <w:rsid w:val="00A53D33"/>
    <w:rsid w:val="00A63741"/>
    <w:rsid w:val="00A6412D"/>
    <w:rsid w:val="00A67892"/>
    <w:rsid w:val="00A67CBC"/>
    <w:rsid w:val="00A7320A"/>
    <w:rsid w:val="00A73F7C"/>
    <w:rsid w:val="00A7483B"/>
    <w:rsid w:val="00A81E0A"/>
    <w:rsid w:val="00A87495"/>
    <w:rsid w:val="00A87DD5"/>
    <w:rsid w:val="00A905E5"/>
    <w:rsid w:val="00AA340E"/>
    <w:rsid w:val="00AA52B7"/>
    <w:rsid w:val="00AA5C1F"/>
    <w:rsid w:val="00AA6C6A"/>
    <w:rsid w:val="00AA71CB"/>
    <w:rsid w:val="00AA7651"/>
    <w:rsid w:val="00AA7DFC"/>
    <w:rsid w:val="00AB2EC0"/>
    <w:rsid w:val="00AB4837"/>
    <w:rsid w:val="00AB5FF1"/>
    <w:rsid w:val="00AB6EA3"/>
    <w:rsid w:val="00AC192D"/>
    <w:rsid w:val="00AC2380"/>
    <w:rsid w:val="00AC3A21"/>
    <w:rsid w:val="00AC4FA8"/>
    <w:rsid w:val="00AC56BD"/>
    <w:rsid w:val="00AC5A53"/>
    <w:rsid w:val="00AC6323"/>
    <w:rsid w:val="00AC74B9"/>
    <w:rsid w:val="00AD04FD"/>
    <w:rsid w:val="00AE00FB"/>
    <w:rsid w:val="00AF0CE7"/>
    <w:rsid w:val="00AF1CAD"/>
    <w:rsid w:val="00AF3E63"/>
    <w:rsid w:val="00B0125D"/>
    <w:rsid w:val="00B0182C"/>
    <w:rsid w:val="00B0536D"/>
    <w:rsid w:val="00B05BC5"/>
    <w:rsid w:val="00B11C39"/>
    <w:rsid w:val="00B2068B"/>
    <w:rsid w:val="00B21AE3"/>
    <w:rsid w:val="00B22796"/>
    <w:rsid w:val="00B2302C"/>
    <w:rsid w:val="00B2304A"/>
    <w:rsid w:val="00B25B40"/>
    <w:rsid w:val="00B3403D"/>
    <w:rsid w:val="00B36568"/>
    <w:rsid w:val="00B41DF2"/>
    <w:rsid w:val="00B43568"/>
    <w:rsid w:val="00B52871"/>
    <w:rsid w:val="00B55FCF"/>
    <w:rsid w:val="00B60509"/>
    <w:rsid w:val="00B62B23"/>
    <w:rsid w:val="00B62C05"/>
    <w:rsid w:val="00B63C0D"/>
    <w:rsid w:val="00B6490E"/>
    <w:rsid w:val="00B668D8"/>
    <w:rsid w:val="00B700EA"/>
    <w:rsid w:val="00B71536"/>
    <w:rsid w:val="00B719EC"/>
    <w:rsid w:val="00B72EF9"/>
    <w:rsid w:val="00B7406E"/>
    <w:rsid w:val="00B75762"/>
    <w:rsid w:val="00B818DB"/>
    <w:rsid w:val="00B838CF"/>
    <w:rsid w:val="00B86BAC"/>
    <w:rsid w:val="00B97A91"/>
    <w:rsid w:val="00BA4397"/>
    <w:rsid w:val="00BA4470"/>
    <w:rsid w:val="00BB13A4"/>
    <w:rsid w:val="00BB1672"/>
    <w:rsid w:val="00BB559B"/>
    <w:rsid w:val="00BC027F"/>
    <w:rsid w:val="00BC3DB4"/>
    <w:rsid w:val="00BC6013"/>
    <w:rsid w:val="00BC73FC"/>
    <w:rsid w:val="00BC7C0C"/>
    <w:rsid w:val="00BD0C35"/>
    <w:rsid w:val="00BD1571"/>
    <w:rsid w:val="00BD2C7F"/>
    <w:rsid w:val="00BE1078"/>
    <w:rsid w:val="00BE30D9"/>
    <w:rsid w:val="00BE30E7"/>
    <w:rsid w:val="00BE6413"/>
    <w:rsid w:val="00BE6C79"/>
    <w:rsid w:val="00BE6F25"/>
    <w:rsid w:val="00BF2255"/>
    <w:rsid w:val="00BF2CF7"/>
    <w:rsid w:val="00BF361E"/>
    <w:rsid w:val="00BF7219"/>
    <w:rsid w:val="00BF7720"/>
    <w:rsid w:val="00BF7B5D"/>
    <w:rsid w:val="00C055D3"/>
    <w:rsid w:val="00C062CC"/>
    <w:rsid w:val="00C06802"/>
    <w:rsid w:val="00C07819"/>
    <w:rsid w:val="00C156BE"/>
    <w:rsid w:val="00C15D42"/>
    <w:rsid w:val="00C207CA"/>
    <w:rsid w:val="00C26BA1"/>
    <w:rsid w:val="00C26C5C"/>
    <w:rsid w:val="00C31BE6"/>
    <w:rsid w:val="00C32227"/>
    <w:rsid w:val="00C327FF"/>
    <w:rsid w:val="00C347D3"/>
    <w:rsid w:val="00C36F81"/>
    <w:rsid w:val="00C418EC"/>
    <w:rsid w:val="00C42335"/>
    <w:rsid w:val="00C438A9"/>
    <w:rsid w:val="00C5035A"/>
    <w:rsid w:val="00C50B01"/>
    <w:rsid w:val="00C5122E"/>
    <w:rsid w:val="00C52F1F"/>
    <w:rsid w:val="00C53A6F"/>
    <w:rsid w:val="00C55516"/>
    <w:rsid w:val="00C55D1C"/>
    <w:rsid w:val="00C55F7C"/>
    <w:rsid w:val="00C602BD"/>
    <w:rsid w:val="00C61D47"/>
    <w:rsid w:val="00C62132"/>
    <w:rsid w:val="00C6472B"/>
    <w:rsid w:val="00C6546B"/>
    <w:rsid w:val="00C6644A"/>
    <w:rsid w:val="00C677EA"/>
    <w:rsid w:val="00C7163B"/>
    <w:rsid w:val="00C74203"/>
    <w:rsid w:val="00C74F89"/>
    <w:rsid w:val="00C75C9E"/>
    <w:rsid w:val="00C762F4"/>
    <w:rsid w:val="00C807F6"/>
    <w:rsid w:val="00C8190D"/>
    <w:rsid w:val="00C85B67"/>
    <w:rsid w:val="00C871F2"/>
    <w:rsid w:val="00C9374F"/>
    <w:rsid w:val="00C93E57"/>
    <w:rsid w:val="00C9652E"/>
    <w:rsid w:val="00C967EC"/>
    <w:rsid w:val="00C9763D"/>
    <w:rsid w:val="00CA02E7"/>
    <w:rsid w:val="00CA086E"/>
    <w:rsid w:val="00CA50A0"/>
    <w:rsid w:val="00CA6977"/>
    <w:rsid w:val="00CB2FB9"/>
    <w:rsid w:val="00CB388B"/>
    <w:rsid w:val="00CB6C6C"/>
    <w:rsid w:val="00CB742C"/>
    <w:rsid w:val="00CB7F9C"/>
    <w:rsid w:val="00CD00CE"/>
    <w:rsid w:val="00CD3806"/>
    <w:rsid w:val="00CE0B82"/>
    <w:rsid w:val="00CE239A"/>
    <w:rsid w:val="00CE3F9B"/>
    <w:rsid w:val="00CF24B9"/>
    <w:rsid w:val="00CF57FA"/>
    <w:rsid w:val="00D003C8"/>
    <w:rsid w:val="00D016DB"/>
    <w:rsid w:val="00D040A5"/>
    <w:rsid w:val="00D05B8A"/>
    <w:rsid w:val="00D06AAD"/>
    <w:rsid w:val="00D074F0"/>
    <w:rsid w:val="00D0796D"/>
    <w:rsid w:val="00D12F29"/>
    <w:rsid w:val="00D13C14"/>
    <w:rsid w:val="00D219A9"/>
    <w:rsid w:val="00D323F3"/>
    <w:rsid w:val="00D3447D"/>
    <w:rsid w:val="00D36FAC"/>
    <w:rsid w:val="00D37556"/>
    <w:rsid w:val="00D4249A"/>
    <w:rsid w:val="00D435EC"/>
    <w:rsid w:val="00D44157"/>
    <w:rsid w:val="00D46D5F"/>
    <w:rsid w:val="00D5069D"/>
    <w:rsid w:val="00D513D9"/>
    <w:rsid w:val="00D57FF1"/>
    <w:rsid w:val="00D61FEE"/>
    <w:rsid w:val="00D628DD"/>
    <w:rsid w:val="00D62E77"/>
    <w:rsid w:val="00D65CBE"/>
    <w:rsid w:val="00D7305C"/>
    <w:rsid w:val="00D75B1C"/>
    <w:rsid w:val="00D76982"/>
    <w:rsid w:val="00D80D1C"/>
    <w:rsid w:val="00D81EA4"/>
    <w:rsid w:val="00D83E3F"/>
    <w:rsid w:val="00D87814"/>
    <w:rsid w:val="00D87C26"/>
    <w:rsid w:val="00D95BD3"/>
    <w:rsid w:val="00D978AD"/>
    <w:rsid w:val="00DA0E60"/>
    <w:rsid w:val="00DB0193"/>
    <w:rsid w:val="00DB05CC"/>
    <w:rsid w:val="00DB1495"/>
    <w:rsid w:val="00DB4D5A"/>
    <w:rsid w:val="00DC03EB"/>
    <w:rsid w:val="00DC164B"/>
    <w:rsid w:val="00DC1C7C"/>
    <w:rsid w:val="00DC376A"/>
    <w:rsid w:val="00DC40BF"/>
    <w:rsid w:val="00DC656E"/>
    <w:rsid w:val="00DC6845"/>
    <w:rsid w:val="00DD07A1"/>
    <w:rsid w:val="00DD1B27"/>
    <w:rsid w:val="00DD3D0A"/>
    <w:rsid w:val="00DD5365"/>
    <w:rsid w:val="00DD7805"/>
    <w:rsid w:val="00DE1248"/>
    <w:rsid w:val="00DE18CA"/>
    <w:rsid w:val="00DE1D48"/>
    <w:rsid w:val="00DE39D7"/>
    <w:rsid w:val="00DE41A1"/>
    <w:rsid w:val="00DE5840"/>
    <w:rsid w:val="00DE79C1"/>
    <w:rsid w:val="00DF3B25"/>
    <w:rsid w:val="00DF41D9"/>
    <w:rsid w:val="00DF5780"/>
    <w:rsid w:val="00E02BC3"/>
    <w:rsid w:val="00E03E98"/>
    <w:rsid w:val="00E0568A"/>
    <w:rsid w:val="00E05A5E"/>
    <w:rsid w:val="00E07EBA"/>
    <w:rsid w:val="00E1163C"/>
    <w:rsid w:val="00E12E31"/>
    <w:rsid w:val="00E135EC"/>
    <w:rsid w:val="00E15E5A"/>
    <w:rsid w:val="00E22965"/>
    <w:rsid w:val="00E36C89"/>
    <w:rsid w:val="00E41937"/>
    <w:rsid w:val="00E4461F"/>
    <w:rsid w:val="00E45077"/>
    <w:rsid w:val="00E45211"/>
    <w:rsid w:val="00E4572C"/>
    <w:rsid w:val="00E47DC3"/>
    <w:rsid w:val="00E503CF"/>
    <w:rsid w:val="00E546D9"/>
    <w:rsid w:val="00E550F6"/>
    <w:rsid w:val="00E55DB1"/>
    <w:rsid w:val="00E639BE"/>
    <w:rsid w:val="00E75B6C"/>
    <w:rsid w:val="00E7604C"/>
    <w:rsid w:val="00E77DA6"/>
    <w:rsid w:val="00E81BB2"/>
    <w:rsid w:val="00E81E1F"/>
    <w:rsid w:val="00E82094"/>
    <w:rsid w:val="00E86637"/>
    <w:rsid w:val="00E91C55"/>
    <w:rsid w:val="00E921C8"/>
    <w:rsid w:val="00E9272B"/>
    <w:rsid w:val="00E93063"/>
    <w:rsid w:val="00E93C53"/>
    <w:rsid w:val="00E93CE2"/>
    <w:rsid w:val="00E9455A"/>
    <w:rsid w:val="00E97C85"/>
    <w:rsid w:val="00EB1B26"/>
    <w:rsid w:val="00EB3815"/>
    <w:rsid w:val="00EB387F"/>
    <w:rsid w:val="00EB7B14"/>
    <w:rsid w:val="00EC10FA"/>
    <w:rsid w:val="00EC6DD2"/>
    <w:rsid w:val="00ED108C"/>
    <w:rsid w:val="00ED1979"/>
    <w:rsid w:val="00ED42FF"/>
    <w:rsid w:val="00ED5F80"/>
    <w:rsid w:val="00ED61AB"/>
    <w:rsid w:val="00EE260A"/>
    <w:rsid w:val="00EE47D5"/>
    <w:rsid w:val="00EE603E"/>
    <w:rsid w:val="00EE65CA"/>
    <w:rsid w:val="00EF0414"/>
    <w:rsid w:val="00EF60B7"/>
    <w:rsid w:val="00EF6805"/>
    <w:rsid w:val="00EF713A"/>
    <w:rsid w:val="00EF7597"/>
    <w:rsid w:val="00F000A0"/>
    <w:rsid w:val="00F025C1"/>
    <w:rsid w:val="00F048EE"/>
    <w:rsid w:val="00F05349"/>
    <w:rsid w:val="00F06A65"/>
    <w:rsid w:val="00F121CB"/>
    <w:rsid w:val="00F13A9E"/>
    <w:rsid w:val="00F149EC"/>
    <w:rsid w:val="00F17C0F"/>
    <w:rsid w:val="00F20148"/>
    <w:rsid w:val="00F2191D"/>
    <w:rsid w:val="00F21B0A"/>
    <w:rsid w:val="00F21F13"/>
    <w:rsid w:val="00F22E44"/>
    <w:rsid w:val="00F24B93"/>
    <w:rsid w:val="00F27802"/>
    <w:rsid w:val="00F3574E"/>
    <w:rsid w:val="00F37A3D"/>
    <w:rsid w:val="00F37E56"/>
    <w:rsid w:val="00F403DE"/>
    <w:rsid w:val="00F420FA"/>
    <w:rsid w:val="00F42EFF"/>
    <w:rsid w:val="00F43669"/>
    <w:rsid w:val="00F53781"/>
    <w:rsid w:val="00F575C6"/>
    <w:rsid w:val="00F57BE9"/>
    <w:rsid w:val="00F61B62"/>
    <w:rsid w:val="00F678A2"/>
    <w:rsid w:val="00F7137F"/>
    <w:rsid w:val="00F74074"/>
    <w:rsid w:val="00F857FF"/>
    <w:rsid w:val="00F85857"/>
    <w:rsid w:val="00F859FF"/>
    <w:rsid w:val="00F877B0"/>
    <w:rsid w:val="00F8789E"/>
    <w:rsid w:val="00F903FF"/>
    <w:rsid w:val="00F9454E"/>
    <w:rsid w:val="00F949DC"/>
    <w:rsid w:val="00F9781B"/>
    <w:rsid w:val="00F97DF0"/>
    <w:rsid w:val="00FA114C"/>
    <w:rsid w:val="00FA13A1"/>
    <w:rsid w:val="00FA281F"/>
    <w:rsid w:val="00FA28BE"/>
    <w:rsid w:val="00FA2B2A"/>
    <w:rsid w:val="00FA573A"/>
    <w:rsid w:val="00FA6590"/>
    <w:rsid w:val="00FB2DF8"/>
    <w:rsid w:val="00FB58DB"/>
    <w:rsid w:val="00FB7FBD"/>
    <w:rsid w:val="00FC0FD2"/>
    <w:rsid w:val="00FC1247"/>
    <w:rsid w:val="00FC2328"/>
    <w:rsid w:val="00FC3090"/>
    <w:rsid w:val="00FC3B93"/>
    <w:rsid w:val="00FC4D8C"/>
    <w:rsid w:val="00FD1372"/>
    <w:rsid w:val="00FD27D7"/>
    <w:rsid w:val="00FD2C1E"/>
    <w:rsid w:val="00FD4B89"/>
    <w:rsid w:val="00FD5FE7"/>
    <w:rsid w:val="00FD7BAC"/>
    <w:rsid w:val="00FE367A"/>
    <w:rsid w:val="00FE5C35"/>
    <w:rsid w:val="00FF239F"/>
    <w:rsid w:val="00FF347F"/>
    <w:rsid w:val="00FF6D7C"/>
    <w:rsid w:val="00FF7001"/>
    <w:rsid w:val="00FF7D2B"/>
    <w:rsid w:val="3E8AC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7BC991"/>
  <w15:chartTrackingRefBased/>
  <w15:docId w15:val="{871E29DB-C62F-4A1C-8AD8-D836906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2FE"/>
  </w:style>
  <w:style w:type="paragraph" w:styleId="Pieddepage">
    <w:name w:val="footer"/>
    <w:basedOn w:val="Normal"/>
    <w:link w:val="PieddepageCar"/>
    <w:uiPriority w:val="99"/>
    <w:unhideWhenUsed/>
    <w:rsid w:val="0044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2FE"/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"/>
    <w:basedOn w:val="Normal"/>
    <w:link w:val="ParagraphedelisteCar"/>
    <w:uiPriority w:val="34"/>
    <w:qFormat/>
    <w:rsid w:val="004432FE"/>
    <w:pPr>
      <w:spacing w:after="200" w:line="276" w:lineRule="auto"/>
      <w:ind w:left="720"/>
      <w:contextualSpacing/>
    </w:p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4432FE"/>
  </w:style>
  <w:style w:type="paragraph" w:customStyle="1" w:styleId="Briefinglist1">
    <w:name w:val="Briefing list 1"/>
    <w:basedOn w:val="Normal"/>
    <w:rsid w:val="004432FE"/>
    <w:pPr>
      <w:keepLines/>
      <w:numPr>
        <w:numId w:val="1"/>
      </w:numPr>
      <w:spacing w:after="120" w:line="240" w:lineRule="auto"/>
      <w:jc w:val="both"/>
    </w:pPr>
    <w:rPr>
      <w:rFonts w:ascii="Arial" w:eastAsia="SimSun" w:hAnsi="Arial" w:cs="Arial"/>
      <w:szCs w:val="24"/>
      <w:lang w:val="en-GB"/>
    </w:rPr>
  </w:style>
  <w:style w:type="paragraph" w:styleId="Textedebulles">
    <w:name w:val="Balloon Text"/>
    <w:basedOn w:val="Normal"/>
    <w:link w:val="TextedebullesCar"/>
    <w:semiHidden/>
    <w:rsid w:val="004432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semiHidden/>
    <w:rsid w:val="004432FE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ffaire-suiviepar">
    <w:name w:val="affaire-suivie par"/>
    <w:basedOn w:val="Policepardfaut"/>
    <w:uiPriority w:val="1"/>
    <w:rsid w:val="004432FE"/>
    <w:rPr>
      <w:rFonts w:ascii="Times New Roman" w:hAnsi="Times New Roman"/>
      <w:sz w:val="18"/>
    </w:rPr>
  </w:style>
  <w:style w:type="paragraph" w:styleId="Sansinterligne">
    <w:name w:val="No Spacing"/>
    <w:uiPriority w:val="1"/>
    <w:qFormat/>
    <w:rsid w:val="004432F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A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AF3E63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AF3E63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F3E6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F3E63"/>
  </w:style>
  <w:style w:type="paragraph" w:styleId="Notedebasdepage">
    <w:name w:val="footnote text"/>
    <w:basedOn w:val="Normal"/>
    <w:link w:val="NotedebasdepageCar"/>
    <w:uiPriority w:val="99"/>
    <w:unhideWhenUsed/>
    <w:rsid w:val="004C55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C5568"/>
    <w:rPr>
      <w:sz w:val="20"/>
      <w:szCs w:val="20"/>
    </w:rPr>
  </w:style>
  <w:style w:type="character" w:customStyle="1" w:styleId="Aucun">
    <w:name w:val="Aucun"/>
    <w:rsid w:val="004C5568"/>
    <w:rPr>
      <w:lang w:val="fr-FR"/>
    </w:rPr>
  </w:style>
  <w:style w:type="character" w:customStyle="1" w:styleId="Hyperlink0">
    <w:name w:val="Hyperlink.0"/>
    <w:basedOn w:val="Policepardfaut"/>
    <w:rsid w:val="004C5568"/>
    <w:rPr>
      <w:outline w:val="0"/>
      <w:color w:val="000000"/>
      <w:sz w:val="16"/>
      <w:szCs w:val="16"/>
      <w:u w:val="none" w:color="0000FF"/>
    </w:rPr>
  </w:style>
  <w:style w:type="paragraph" w:customStyle="1" w:styleId="Corps">
    <w:name w:val="Corps"/>
    <w:rsid w:val="004C556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styleId="Lienhypertexte">
    <w:name w:val="Hyperlink"/>
    <w:basedOn w:val="Policepardfaut"/>
    <w:uiPriority w:val="99"/>
    <w:unhideWhenUsed/>
    <w:rsid w:val="00915E62"/>
    <w:rPr>
      <w:color w:val="0563C1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30660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73F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C73F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C73F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5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41B2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F27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27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27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27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27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60143040BC9468F65CD5FC2CC5514" ma:contentTypeVersion="1" ma:contentTypeDescription="Crée un document." ma:contentTypeScope="" ma:versionID="e209ea60ed5c1f623b69b87d0305fb76">
  <xsd:schema xmlns:xsd="http://www.w3.org/2001/XMLSchema" xmlns:xs="http://www.w3.org/2001/XMLSchema" xmlns:p="http://schemas.microsoft.com/office/2006/metadata/properties" xmlns:ns2="d7c781e3-6dd4-4dc6-91fa-68ea78cc5ca0" targetNamespace="http://schemas.microsoft.com/office/2006/metadata/properties" ma:root="true" ma:fieldsID="2bf6153404d7286bd91fe22a06b8d5a4" ns2:_="">
    <xsd:import namespace="d7c781e3-6dd4-4dc6-91fa-68ea78cc5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81e3-6dd4-4dc6-91fa-68ea78cc5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9D934-B2D2-4B4E-A779-F24A898AE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AC52F-FE69-4023-8FA1-751D7FEFD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5C3BE-9D6B-49ED-965C-A9AEB9945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80F39A-11A6-4986-831E-7CC8672E3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81e3-6dd4-4dc6-91fa-68ea78cc5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BORDES Gilles</dc:creator>
  <cp:keywords/>
  <dc:description/>
  <cp:lastModifiedBy>SARACINSKA Iveta</cp:lastModifiedBy>
  <cp:revision>3</cp:revision>
  <cp:lastPrinted>2023-02-22T13:38:00Z</cp:lastPrinted>
  <dcterms:created xsi:type="dcterms:W3CDTF">2024-03-06T12:46:00Z</dcterms:created>
  <dcterms:modified xsi:type="dcterms:W3CDTF">2024-03-06T12:47:00Z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0x01010038860143040BC9468F65CD5FC2CC5514</vt:lpwstr>
  </property>
</Properties>
</file>