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AEEA" w14:textId="77777777" w:rsidR="003B4AD5" w:rsidRDefault="00463EE8" w:rsidP="000F3D8D">
      <w:pPr>
        <w:tabs>
          <w:tab w:val="left" w:pos="607"/>
          <w:tab w:val="left" w:pos="7380"/>
        </w:tabs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9D3220">
        <w:rPr>
          <w:rFonts w:ascii="Segoe UI" w:hAnsi="Segoe UI" w:cs="Segoe UI"/>
          <w:sz w:val="20"/>
          <w:szCs w:val="20"/>
        </w:rPr>
        <w:tab/>
      </w:r>
      <w:r w:rsidR="003B4AD5">
        <w:rPr>
          <w:rFonts w:ascii="Segoe UI" w:hAnsi="Segoe UI" w:cs="Segoe UI"/>
          <w:sz w:val="20"/>
          <w:szCs w:val="20"/>
        </w:rPr>
        <w:tab/>
      </w:r>
    </w:p>
    <w:p w14:paraId="3C870499" w14:textId="77777777" w:rsidR="003B4AD5" w:rsidRDefault="003B4AD5" w:rsidP="000F3D8D">
      <w:pPr>
        <w:tabs>
          <w:tab w:val="left" w:pos="607"/>
          <w:tab w:val="left" w:pos="7380"/>
        </w:tabs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2C84743" w14:textId="0EAAB0F4" w:rsidR="008E7471" w:rsidRPr="009D3220" w:rsidRDefault="003B4AD5" w:rsidP="000F3D8D">
      <w:pPr>
        <w:tabs>
          <w:tab w:val="left" w:pos="607"/>
          <w:tab w:val="left" w:pos="7380"/>
        </w:tabs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371FF">
        <w:rPr>
          <w:rFonts w:ascii="Segoe UI" w:hAnsi="Segoe UI" w:cs="Segoe UI"/>
          <w:sz w:val="20"/>
          <w:szCs w:val="20"/>
        </w:rPr>
        <w:t>Tel-Aviv</w:t>
      </w:r>
      <w:r w:rsidR="008E7471" w:rsidRPr="009D3220">
        <w:rPr>
          <w:rFonts w:ascii="Segoe UI" w:hAnsi="Segoe UI" w:cs="Segoe UI"/>
          <w:sz w:val="20"/>
          <w:szCs w:val="20"/>
        </w:rPr>
        <w:t xml:space="preserve">, le </w:t>
      </w:r>
      <w:sdt>
        <w:sdtPr>
          <w:rPr>
            <w:rFonts w:ascii="Segoe UI" w:hAnsi="Segoe UI" w:cs="Segoe UI"/>
            <w:sz w:val="20"/>
            <w:szCs w:val="20"/>
          </w:rPr>
          <w:id w:val="389536217"/>
          <w:placeholder>
            <w:docPart w:val="855187CBFD2944909A9826108CFFC2B9"/>
          </w:placeholder>
          <w15:color w:val="FF0000"/>
          <w:date w:fullDate="2022-12-06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847AD6">
            <w:rPr>
              <w:rFonts w:ascii="Segoe UI" w:hAnsi="Segoe UI" w:cs="Segoe UI"/>
              <w:sz w:val="20"/>
              <w:szCs w:val="20"/>
            </w:rPr>
            <w:t>6 décembre 2022</w:t>
          </w:r>
        </w:sdtContent>
      </w:sdt>
    </w:p>
    <w:p w14:paraId="78629B78" w14:textId="77777777" w:rsidR="00463EE8" w:rsidRPr="009D3220" w:rsidRDefault="00CD3ADF" w:rsidP="000F3D8D">
      <w:pPr>
        <w:tabs>
          <w:tab w:val="left" w:pos="7380"/>
        </w:tabs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9D3220">
        <w:rPr>
          <w:rFonts w:ascii="Segoe UI" w:hAnsi="Segoe UI" w:cs="Segoe UI"/>
          <w:sz w:val="20"/>
          <w:szCs w:val="20"/>
        </w:rPr>
        <w:tab/>
      </w:r>
      <w:r w:rsidR="00463EE8" w:rsidRPr="009D3220">
        <w:rPr>
          <w:rFonts w:ascii="Segoe UI" w:hAnsi="Segoe UI" w:cs="Segoe UI"/>
          <w:sz w:val="20"/>
          <w:szCs w:val="20"/>
        </w:rPr>
        <w:t>N°</w:t>
      </w:r>
      <w:sdt>
        <w:sdtPr>
          <w:rPr>
            <w:rFonts w:ascii="Segoe UI" w:hAnsi="Segoe UI" w:cs="Segoe UI"/>
            <w:sz w:val="20"/>
            <w:szCs w:val="20"/>
          </w:rPr>
          <w:alias w:val="NUMERO"/>
          <w:tag w:val="NUMERO"/>
          <w:id w:val="-1172644367"/>
          <w:placeholder>
            <w:docPart w:val="932942468515487A9616D9A195DE4CDC"/>
          </w:placeholder>
          <w:showingPlcHdr/>
          <w15:color w:val="FF0000"/>
        </w:sdtPr>
        <w:sdtEndPr/>
        <w:sdtContent>
          <w:r w:rsidR="002C1891" w:rsidRPr="00994C2A">
            <w:rPr>
              <w:rStyle w:val="Textedelespacerserv"/>
              <w:rFonts w:ascii="Segoe UI" w:hAnsi="Segoe UI" w:cs="Segoe UI"/>
              <w:sz w:val="20"/>
            </w:rPr>
            <w:t>entrer numéro</w:t>
          </w:r>
          <w:r w:rsidR="002C1891" w:rsidRPr="000B0C57">
            <w:rPr>
              <w:rStyle w:val="Textedelespacerserv"/>
            </w:rPr>
            <w:t>.</w:t>
          </w:r>
        </w:sdtContent>
      </w:sdt>
    </w:p>
    <w:p w14:paraId="79F34B64" w14:textId="77777777" w:rsidR="00CA3522" w:rsidRPr="009D3220" w:rsidRDefault="00CA3522" w:rsidP="000F3D8D">
      <w:pPr>
        <w:tabs>
          <w:tab w:val="left" w:pos="3969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5A044D3" w14:textId="77777777" w:rsidR="00CA3522" w:rsidRPr="009D3220" w:rsidRDefault="00994C2A" w:rsidP="000F3D8D">
      <w:pPr>
        <w:tabs>
          <w:tab w:val="center" w:pos="8460"/>
        </w:tabs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9D3220">
        <w:rPr>
          <w:rFonts w:ascii="Segoe UI" w:hAnsi="Segoe UI" w:cs="Segoe UI"/>
          <w:sz w:val="20"/>
          <w:szCs w:val="20"/>
        </w:rPr>
        <w:tab/>
      </w:r>
      <w:r w:rsidRPr="009D3220">
        <w:rPr>
          <w:rFonts w:ascii="Segoe UI" w:hAnsi="Segoe UI" w:cs="Segoe UI"/>
          <w:b/>
          <w:sz w:val="20"/>
          <w:szCs w:val="20"/>
        </w:rPr>
        <w:t>Affaire suivie par :</w:t>
      </w:r>
    </w:p>
    <w:p w14:paraId="707D121D" w14:textId="77777777" w:rsidR="00B4334F" w:rsidRPr="009D3220" w:rsidRDefault="00B4334F" w:rsidP="000F3D8D">
      <w:pPr>
        <w:tabs>
          <w:tab w:val="center" w:pos="8460"/>
        </w:tabs>
        <w:spacing w:after="0"/>
        <w:jc w:val="both"/>
        <w:rPr>
          <w:rFonts w:ascii="Segoe UI" w:hAnsi="Segoe UI" w:cs="Segoe UI"/>
          <w:sz w:val="20"/>
          <w:szCs w:val="20"/>
        </w:rPr>
      </w:pPr>
      <w:r w:rsidRPr="009D3220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alias w:val="Choisir l'agent"/>
          <w:tag w:val="Choisir l'agent"/>
          <w:id w:val="-75828396"/>
          <w:placeholder>
            <w:docPart w:val="BC43BA00C6A44DDB87A9FECEEF3F2E09"/>
          </w:placeholder>
          <w15:color w:val="FF0000"/>
          <w:comboBox>
            <w:listItem w:value="Choisissez un élément."/>
            <w:listItem w:displayText="Eric Sayettat" w:value="Eric Sayettat"/>
            <w:listItem w:displayText="Serge Krebs" w:value="Serge Krebs"/>
            <w:listItem w:displayText="Nir Avissar" w:value="Nir Avissar"/>
            <w:listItem w:displayText="Sarith Mor" w:value="Sarith Mor"/>
          </w:comboBox>
        </w:sdtPr>
        <w:sdtEndPr/>
        <w:sdtContent>
          <w:r w:rsidR="00F0677E">
            <w:rPr>
              <w:rFonts w:ascii="Segoe UI" w:hAnsi="Segoe UI" w:cs="Segoe UI"/>
              <w:sz w:val="20"/>
              <w:szCs w:val="20"/>
            </w:rPr>
            <w:t>Edouard LEGRIS</w:t>
          </w:r>
        </w:sdtContent>
      </w:sdt>
    </w:p>
    <w:p w14:paraId="1925E871" w14:textId="77777777" w:rsidR="00CA3522" w:rsidRDefault="00CA3522" w:rsidP="000F3D8D">
      <w:pPr>
        <w:tabs>
          <w:tab w:val="left" w:pos="3969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5E53026D" w14:textId="77777777" w:rsidR="009D3220" w:rsidRDefault="009D3220" w:rsidP="000F3D8D">
      <w:pPr>
        <w:tabs>
          <w:tab w:val="left" w:pos="3969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sdt>
      <w:sdtPr>
        <w:rPr>
          <w:rStyle w:val="TITRENOTRESER"/>
          <w:smallCaps/>
          <w:lang w:val="fr-FR"/>
        </w:rPr>
        <w:alias w:val="TITRE NOTE"/>
        <w:tag w:val="TITRE NOTE"/>
        <w:id w:val="2099061628"/>
        <w:placeholder>
          <w:docPart w:val="E3001978650C41D695867483F033E9DB"/>
        </w:placeholder>
        <w15:color w:val="FF0000"/>
      </w:sdtPr>
      <w:sdtEndPr>
        <w:rPr>
          <w:rStyle w:val="Policepardfaut"/>
          <w:rFonts w:ascii="Arial" w:hAnsi="Arial" w:cs="Segoe UI"/>
          <w:b w:val="0"/>
          <w:smallCaps w:val="0"/>
          <w:color w:val="auto"/>
          <w:sz w:val="20"/>
        </w:rPr>
      </w:sdtEndPr>
      <w:sdtContent>
        <w:p w14:paraId="31910576" w14:textId="22AC19B8" w:rsidR="00C81868" w:rsidRPr="002C1891" w:rsidRDefault="00396C49" w:rsidP="000F3D8D">
          <w:pPr>
            <w:pStyle w:val="Briefinglist1"/>
            <w:keepLines w:val="0"/>
            <w:numPr>
              <w:ilvl w:val="0"/>
              <w:numId w:val="0"/>
            </w:numPr>
            <w:spacing w:after="0"/>
            <w:jc w:val="center"/>
            <w:rPr>
              <w:rFonts w:ascii="Segoe UI" w:hAnsi="Segoe UI"/>
              <w:b/>
              <w:smallCaps/>
              <w:color w:val="006CE5"/>
              <w:sz w:val="32"/>
              <w:lang w:val="fr-FR"/>
            </w:rPr>
          </w:pPr>
          <w:r w:rsidRPr="00396C49">
            <w:rPr>
              <w:rStyle w:val="TITRENOTRESER"/>
              <w:smallCaps/>
              <w:lang w:val="fr-FR"/>
            </w:rPr>
            <w:t>des forces et faiblesses de l'économie israélienne</w:t>
          </w:r>
        </w:p>
      </w:sdtContent>
    </w:sdt>
    <w:p w14:paraId="238B4EFE" w14:textId="77777777" w:rsidR="009D3220" w:rsidRPr="00AE6726" w:rsidRDefault="009D3220" w:rsidP="000F3D8D">
      <w:pPr>
        <w:tabs>
          <w:tab w:val="left" w:pos="3969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sdt>
      <w:sdtPr>
        <w:rPr>
          <w:rStyle w:val="RsumnoteSER"/>
          <w:color w:val="auto"/>
        </w:rPr>
        <w:alias w:val="Résumé note"/>
        <w:tag w:val="Résumé note"/>
        <w:id w:val="1419672255"/>
        <w:placeholder>
          <w:docPart w:val="05E1B47A6B834CAA9ED816B37663F51F"/>
        </w:placeholder>
        <w15:color w:val="FF0000"/>
      </w:sdtPr>
      <w:sdtEndPr>
        <w:rPr>
          <w:rStyle w:val="Policepardfaut"/>
          <w:rFonts w:asciiTheme="minorHAnsi" w:hAnsiTheme="minorHAnsi" w:cs="Segoe UI"/>
          <w:sz w:val="22"/>
          <w:szCs w:val="20"/>
        </w:rPr>
      </w:sdtEndPr>
      <w:sdtContent>
        <w:sdt>
          <w:sdtPr>
            <w:rPr>
              <w:rStyle w:val="RsumnoteSER"/>
              <w:color w:val="auto"/>
            </w:rPr>
            <w:alias w:val="Résumé note"/>
            <w:tag w:val="Résumé note"/>
            <w:id w:val="-853499552"/>
            <w:placeholder>
              <w:docPart w:val="EA21866BB5E342B4A4F73B4F602ED26A"/>
            </w:placeholder>
            <w15:color w:val="FF0000"/>
          </w:sdtPr>
          <w:sdtEndPr>
            <w:rPr>
              <w:rStyle w:val="Policepardfaut"/>
              <w:rFonts w:asciiTheme="minorHAnsi" w:hAnsiTheme="minorHAnsi" w:cs="Segoe UI"/>
              <w:sz w:val="22"/>
              <w:szCs w:val="20"/>
            </w:rPr>
          </w:sdtEndPr>
          <w:sdtContent>
            <w:p w14:paraId="70203A6F" w14:textId="56831A5B" w:rsidR="00777EB4" w:rsidRDefault="00777EB4" w:rsidP="00777EB4">
              <w:pPr>
                <w:tabs>
                  <w:tab w:val="left" w:pos="3969"/>
                </w:tabs>
                <w:spacing w:after="0"/>
                <w:jc w:val="both"/>
                <w:rPr>
                  <w:rFonts w:ascii="Segoe UI" w:hAnsi="Segoe UI"/>
                  <w:sz w:val="20"/>
                </w:rPr>
              </w:pPr>
              <w:r w:rsidRPr="00AE6726">
                <w:rPr>
                  <w:rStyle w:val="RsumnoteSER"/>
                  <w:color w:val="auto"/>
                </w:rPr>
                <w:t xml:space="preserve">Cette note vise à </w:t>
              </w:r>
              <w:r>
                <w:rPr>
                  <w:rStyle w:val="RsumnoteSER"/>
                  <w:color w:val="auto"/>
                </w:rPr>
                <w:t>regarder au-delà de</w:t>
              </w:r>
              <w:r w:rsidRPr="00AE6726">
                <w:rPr>
                  <w:rStyle w:val="RsumnoteSER"/>
                  <w:color w:val="auto"/>
                </w:rPr>
                <w:t xml:space="preserve"> l’image d’Epinal d</w:t>
              </w:r>
              <w:r>
                <w:rPr>
                  <w:rStyle w:val="RsumnoteSER"/>
                  <w:color w:val="auto"/>
                </w:rPr>
                <w:t>e l’économie du</w:t>
              </w:r>
              <w:r w:rsidRPr="00AE6726">
                <w:rPr>
                  <w:rStyle w:val="RsumnoteSER"/>
                  <w:color w:val="auto"/>
                </w:rPr>
                <w:t xml:space="preserve"> pays. Une image qui pourrait </w:t>
              </w:r>
              <w:r>
                <w:rPr>
                  <w:rStyle w:val="RsumnoteSER"/>
                  <w:color w:val="auto"/>
                </w:rPr>
                <w:t xml:space="preserve">créer une </w:t>
              </w:r>
              <w:r w:rsidRPr="00AE6726">
                <w:rPr>
                  <w:rStyle w:val="RsumnoteSER"/>
                  <w:color w:val="auto"/>
                </w:rPr>
                <w:t xml:space="preserve">méprise sur les causes </w:t>
              </w:r>
              <w:r>
                <w:rPr>
                  <w:rStyle w:val="RsumnoteSER"/>
                  <w:color w:val="auto"/>
                </w:rPr>
                <w:t xml:space="preserve">contemporaines </w:t>
              </w:r>
              <w:r w:rsidRPr="00AE6726">
                <w:rPr>
                  <w:rStyle w:val="RsumnoteSER"/>
                  <w:color w:val="auto"/>
                </w:rPr>
                <w:t xml:space="preserve">des succès israéliens. </w:t>
              </w:r>
            </w:p>
            <w:p w14:paraId="7D2E769E" w14:textId="54843CE0" w:rsidR="00FB7DCE" w:rsidRPr="00777EB4" w:rsidRDefault="006C066C" w:rsidP="00777EB4">
              <w:pPr>
                <w:tabs>
                  <w:tab w:val="left" w:pos="3969"/>
                </w:tabs>
                <w:spacing w:after="0"/>
                <w:jc w:val="both"/>
                <w:rPr>
                  <w:rFonts w:ascii="Segoe UI" w:hAnsi="Segoe UI"/>
                  <w:sz w:val="20"/>
                </w:rPr>
              </w:pPr>
            </w:p>
          </w:sdtContent>
        </w:sdt>
      </w:sdtContent>
    </w:sdt>
    <w:p w14:paraId="7A899723" w14:textId="77777777" w:rsidR="00C81868" w:rsidRDefault="00C81868" w:rsidP="000F3D8D">
      <w:pPr>
        <w:jc w:val="both"/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</w:pPr>
      <w:r w:rsidRPr="00DD6005">
        <w:rPr>
          <w:rFonts w:ascii="Segoe UI" w:hAnsi="Segoe UI" w:cs="Segoe U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763B74E7" wp14:editId="6200C843">
                <wp:extent cx="6487064" cy="299720"/>
                <wp:effectExtent l="0" t="0" r="9525" b="5080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064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id w:val="1665284520"/>
                              <w:placeholder>
                                <w:docPart w:val="343A679DC38341538289ED53E0930FFE"/>
                              </w:placeholder>
                              <w15:color w:val="FF00FF"/>
                            </w:sdtPr>
                            <w:sdtEndPr/>
                            <w:sdtContent>
                              <w:p w14:paraId="0D3DC683" w14:textId="115BE020" w:rsidR="00C81868" w:rsidRPr="00AE6726" w:rsidRDefault="004266BC" w:rsidP="002C1891">
                                <w:pPr>
                                  <w:pStyle w:val="Paragraphedeliste"/>
                                  <w:numPr>
                                    <w:ilvl w:val="0"/>
                                    <w:numId w:val="12"/>
                                  </w:numPr>
                                  <w:spacing w:after="240" w:line="240" w:lineRule="auto"/>
                                  <w:ind w:left="284" w:hanging="284"/>
                                  <w:contextualSpacing w:val="0"/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E6726"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La réussite t</w:t>
                                </w:r>
                                <w:r w:rsidR="000F3D8D" w:rsidRPr="00AE6726"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echnologi</w:t>
                                </w:r>
                                <w:r w:rsidRPr="00AE6726"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qu</w:t>
                                </w:r>
                                <w:r w:rsidR="000F3D8D" w:rsidRPr="00AE6726"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E6726"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doit beaucoup à l’armée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B74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10.8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" fillcolor="#006ce5" stroked="f">
                <v:textbox>
                  <w:txbxContent>
                    <w:sdt>
                      <w:sdtPr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id w:val="1665284520"/>
                        <w:placeholder>
                          <w:docPart w:val="343A679DC38341538289ED53E0930FFE"/>
                        </w:placeholder>
                        <w15:color w:val="FF00FF"/>
                      </w:sdtPr>
                      <w:sdtEndPr/>
                      <w:sdtContent>
                        <w:p w14:paraId="0D3DC683" w14:textId="115BE020" w:rsidR="00C81868" w:rsidRPr="00AE6726" w:rsidRDefault="004266BC" w:rsidP="002C1891">
                          <w:pPr>
                            <w:pStyle w:val="Paragraphedeliste"/>
                            <w:numPr>
                              <w:ilvl w:val="0"/>
                              <w:numId w:val="12"/>
                            </w:numPr>
                            <w:spacing w:after="240" w:line="240" w:lineRule="auto"/>
                            <w:ind w:left="284" w:hanging="284"/>
                            <w:contextualSpacing w:val="0"/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E6726"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La réussite t</w:t>
                          </w:r>
                          <w:r w:rsidR="000F3D8D" w:rsidRPr="00AE6726"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echnologi</w:t>
                          </w:r>
                          <w:r w:rsidRPr="00AE6726"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qu</w:t>
                          </w:r>
                          <w:r w:rsidR="000F3D8D" w:rsidRPr="00AE6726"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e</w:t>
                          </w:r>
                          <w:r w:rsidRPr="00AE6726"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doit beaucoup à l’armée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Style w:val="paragraphenoteSER"/>
        </w:rPr>
        <w:alias w:val="paragraphe"/>
        <w:tag w:val="paragraphe"/>
        <w:id w:val="1885901774"/>
        <w:placeholder>
          <w:docPart w:val="B91DE2E1E5ED4E629C7E6E232C90536F"/>
        </w:placeholder>
        <w15:color w:val="FF0000"/>
      </w:sdtPr>
      <w:sdtEndPr>
        <w:rPr>
          <w:rStyle w:val="Policepardfaut"/>
          <w:rFonts w:asciiTheme="minorHAnsi" w:eastAsia="Times New Roman" w:hAnsiTheme="minorHAnsi" w:cs="Segoe UI"/>
          <w:color w:val="222222"/>
          <w:sz w:val="22"/>
          <w:szCs w:val="20"/>
          <w:lang w:eastAsia="fr-FR"/>
        </w:rPr>
      </w:sdtEndPr>
      <w:sdtContent>
        <w:sdt>
          <w:sdtPr>
            <w:rPr>
              <w:rFonts w:ascii="Segoe UI" w:hAnsi="Segoe UI"/>
              <w:sz w:val="20"/>
            </w:rPr>
            <w:alias w:val="paragraphe"/>
            <w:tag w:val="paragraphe"/>
            <w:id w:val="-903292114"/>
            <w:placeholder>
              <w:docPart w:val="5E41E6FB94C44934977B57AB76FA8E95"/>
            </w:placeholder>
            <w15:color w:val="FF0000"/>
          </w:sdtPr>
          <w:sdtEndPr/>
          <w:sdtContent>
            <w:p w14:paraId="74B80C79" w14:textId="07EDCBC1" w:rsidR="000F3D8D" w:rsidRPr="00AE6726" w:rsidRDefault="000F3D8D" w:rsidP="00AE6726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Le pays compterait le plus grand nombre de jeunes pousses par habitant.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Une </w:t>
              </w:r>
              <w:r w:rsidRPr="00AE6726">
                <w:rPr>
                  <w:rFonts w:ascii="Segoe UI" w:hAnsi="Segoe UI" w:cs="Segoe UI"/>
                  <w:i/>
                  <w:iCs/>
                  <w:sz w:val="20"/>
                  <w:szCs w:val="20"/>
                </w:rPr>
                <w:t>startup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sur quatre 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 xml:space="preserve">dans le monde 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>qui aurait levé des fonds dans la cybersécurité serait située d</w:t>
              </w:r>
              <w:r w:rsidR="00AB3528" w:rsidRPr="00AE6726">
                <w:rPr>
                  <w:rFonts w:ascii="Segoe UI" w:hAnsi="Segoe UI" w:cs="Segoe UI"/>
                  <w:sz w:val="20"/>
                  <w:szCs w:val="20"/>
                </w:rPr>
                <w:t>ans l’agglomération d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e Tel-Aviv. </w:t>
              </w:r>
              <w:r w:rsidR="00777EB4" w:rsidRPr="00AE6726">
                <w:rPr>
                  <w:rFonts w:ascii="Segoe UI" w:hAnsi="Segoe UI" w:cs="Segoe UI"/>
                  <w:sz w:val="20"/>
                  <w:szCs w:val="20"/>
                </w:rPr>
                <w:t>Le capital-risque est très développé</w:t>
              </w:r>
              <w:r w:rsidR="00F04A45"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="00AA0053">
                <w:rPr>
                  <w:rFonts w:ascii="Segoe UI" w:hAnsi="Segoe UI" w:cs="Segoe UI"/>
                  <w:sz w:val="20"/>
                  <w:szCs w:val="20"/>
                </w:rPr>
                <w:t>en Israël mais la part du pays est passé en 12 ans de 18% du capital risque mondial à 11% alors que celle de la France serait passée dans l’intervalle de 5% à 13%.</w:t>
              </w:r>
            </w:p>
            <w:p w14:paraId="0E23B769" w14:textId="396AEFDA" w:rsidR="00AB3528" w:rsidRPr="00AE6726" w:rsidRDefault="00B9589F" w:rsidP="00AE6726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>
                <w:rPr>
                  <w:rFonts w:ascii="Segoe UI" w:hAnsi="Segoe UI" w:cs="Segoe UI"/>
                  <w:sz w:val="20"/>
                  <w:szCs w:val="20"/>
                </w:rPr>
                <w:t>Elément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 xml:space="preserve"> essentiel, l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 xml:space="preserve">e dynamisme de la technologie israélienne </w:t>
              </w:r>
              <w:r w:rsidR="00AB3528" w:rsidRPr="00AE6726">
                <w:rPr>
                  <w:rFonts w:ascii="Segoe UI" w:hAnsi="Segoe UI" w:cs="Segoe UI"/>
                  <w:sz w:val="20"/>
                  <w:szCs w:val="20"/>
                </w:rPr>
                <w:t xml:space="preserve">ne dépend pas 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>d’une matière grise importée</w:t>
              </w:r>
              <w:r w:rsidR="00F04A45">
                <w:rPr>
                  <w:rFonts w:ascii="Segoe UI" w:hAnsi="Segoe UI" w:cs="Segoe UI"/>
                  <w:sz w:val="20"/>
                  <w:szCs w:val="20"/>
                </w:rPr>
                <w:t>, même si le pays emplo</w:t>
              </w:r>
              <w:r w:rsidR="003B6811">
                <w:rPr>
                  <w:rFonts w:ascii="Segoe UI" w:hAnsi="Segoe UI" w:cs="Segoe UI"/>
                  <w:sz w:val="20"/>
                  <w:szCs w:val="20"/>
                </w:rPr>
                <w:t>ie</w:t>
              </w:r>
              <w:r w:rsidR="00F04A45">
                <w:rPr>
                  <w:rFonts w:ascii="Segoe UI" w:hAnsi="Segoe UI" w:cs="Segoe UI"/>
                  <w:sz w:val="20"/>
                  <w:szCs w:val="20"/>
                </w:rPr>
                <w:t xml:space="preserve"> à distance des programmeurs et codeurs en pays tiers</w:t>
              </w:r>
              <w:r w:rsidR="00AB3528" w:rsidRPr="00AE6726">
                <w:rPr>
                  <w:rFonts w:ascii="Segoe UI" w:hAnsi="Segoe UI" w:cs="Segoe UI"/>
                  <w:sz w:val="20"/>
                  <w:szCs w:val="20"/>
                </w:rPr>
                <w:t xml:space="preserve">, c’est ce qui le distingue de l’écosystème 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>américain.</w:t>
              </w:r>
            </w:p>
            <w:p w14:paraId="0A28668C" w14:textId="1E48EE1D" w:rsidR="000F3D8D" w:rsidRPr="00AE6726" w:rsidRDefault="00444E0C" w:rsidP="00AE6726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C</w:t>
              </w:r>
              <w:r w:rsidR="00AB3528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’est pendant les trois ans de service militaire obligatoire (2 ans pour les femmes) que </w:t>
              </w:r>
              <w:r w:rsidR="00A20B53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se forment les élites à la source de la high tech israélienne</w:t>
              </w:r>
              <w:r w:rsidR="000F3D8D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.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 xml:space="preserve"> Les frontières </w:t>
              </w:r>
              <w:r w:rsidR="00AA0053">
                <w:rPr>
                  <w:rFonts w:ascii="Segoe UI" w:hAnsi="Segoe UI" w:cs="Segoe UI"/>
                  <w:sz w:val="20"/>
                  <w:szCs w:val="20"/>
                </w:rPr>
                <w:t>sont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 xml:space="preserve"> poreuses entre 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 xml:space="preserve">le milieu des startups, 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 xml:space="preserve">celui 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 xml:space="preserve">de la recherche 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u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>niversit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aire</w:t>
              </w:r>
              <w:r w:rsidR="000F3D8D" w:rsidRPr="00AE6726">
                <w:rPr>
                  <w:rFonts w:ascii="Segoe UI" w:hAnsi="Segoe UI" w:cs="Segoe UI"/>
                  <w:sz w:val="20"/>
                  <w:szCs w:val="20"/>
                </w:rPr>
                <w:t xml:space="preserve"> et l’armée. </w:t>
              </w:r>
            </w:p>
            <w:p w14:paraId="44EBE373" w14:textId="39DB6E88" w:rsidR="000F3D8D" w:rsidRDefault="000F3D8D" w:rsidP="00AE6726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Les conscrits </w:t>
              </w:r>
              <w:r w:rsidR="008C18EC" w:rsidRPr="00AE6726">
                <w:rPr>
                  <w:rFonts w:ascii="Segoe UI" w:hAnsi="Segoe UI" w:cs="Segoe UI"/>
                  <w:sz w:val="20"/>
                  <w:szCs w:val="20"/>
                </w:rPr>
                <w:t>(au sortir du lycée)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s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ont affectés en fonction de l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eurs résultats 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aux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tests 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d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u début du service militaire, dans </w:t>
              </w:r>
              <w:r w:rsidR="00E714D8">
                <w:rPr>
                  <w:rFonts w:ascii="Segoe UI" w:hAnsi="Segoe UI" w:cs="Segoe UI"/>
                  <w:sz w:val="20"/>
                  <w:szCs w:val="20"/>
                </w:rPr>
                <w:t>des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unités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 xml:space="preserve"> spécialisées dans la défense numérique, unité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8200, 81, Talpiot… A la fin du service militaire</w:t>
              </w:r>
              <w:r w:rsidR="003216E7" w:rsidRPr="00AE6726">
                <w:rPr>
                  <w:rFonts w:ascii="Segoe UI" w:hAnsi="Segoe UI" w:cs="Segoe UI"/>
                  <w:sz w:val="20"/>
                  <w:szCs w:val="20"/>
                </w:rPr>
                <w:t>,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la plupart </w:t>
              </w:r>
              <w:r w:rsidR="00A20B53" w:rsidRPr="00AE6726">
                <w:rPr>
                  <w:rFonts w:ascii="Segoe UI" w:hAnsi="Segoe UI" w:cs="Segoe UI"/>
                  <w:sz w:val="20"/>
                  <w:szCs w:val="20"/>
                </w:rPr>
                <w:t>entam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ent leurs études supérieures. Leurs choix se font alors naturellement à la lumière et à la faveur de leur occupation </w:t>
              </w:r>
              <w:r w:rsidR="004266BC" w:rsidRPr="00AE6726">
                <w:rPr>
                  <w:rFonts w:ascii="Segoe UI" w:hAnsi="Segoe UI" w:cs="Segoe UI"/>
                  <w:sz w:val="20"/>
                  <w:szCs w:val="20"/>
                </w:rPr>
                <w:t>au sein de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l’armée.</w:t>
              </w:r>
            </w:p>
            <w:p w14:paraId="1841C3C2" w14:textId="21043231" w:rsidR="00E0410E" w:rsidRPr="00AE6726" w:rsidRDefault="00E0410E" w:rsidP="00AE6726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>
                <w:rPr>
                  <w:rFonts w:ascii="Segoe UI" w:hAnsi="Segoe UI" w:cs="Segoe UI"/>
                  <w:sz w:val="20"/>
                  <w:szCs w:val="20"/>
                </w:rPr>
                <w:t xml:space="preserve">40% des étudiants </w:t>
              </w:r>
              <w:r w:rsidRPr="00E0410E">
                <w:rPr>
                  <w:rFonts w:ascii="Segoe UI" w:hAnsi="Segoe UI" w:cs="Segoe UI"/>
                  <w:sz w:val="20"/>
                  <w:szCs w:val="20"/>
                </w:rPr>
                <w:t>masculins de premier cycle</w:t>
              </w:r>
              <w:r>
                <w:rPr>
                  <w:rFonts w:ascii="Segoe UI" w:hAnsi="Segoe UI" w:cs="Segoe UI"/>
                  <w:sz w:val="20"/>
                  <w:szCs w:val="20"/>
                </w:rPr>
                <w:t xml:space="preserve"> et 13% étudiantes </w:t>
              </w:r>
              <w:r w:rsidRPr="00E0410E">
                <w:rPr>
                  <w:rFonts w:ascii="Segoe UI" w:hAnsi="Segoe UI" w:cs="Segoe UI"/>
                  <w:sz w:val="20"/>
                  <w:szCs w:val="20"/>
                </w:rPr>
                <w:t>de premier cycle</w:t>
              </w:r>
              <w:r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="00236FBD">
                <w:rPr>
                  <w:rFonts w:ascii="Segoe UI" w:hAnsi="Segoe UI" w:cs="Segoe UI"/>
                  <w:sz w:val="20"/>
                  <w:szCs w:val="20"/>
                </w:rPr>
                <w:t xml:space="preserve">étudient dans un diplôme de haute technologie. </w:t>
              </w:r>
            </w:p>
            <w:p w14:paraId="0B7810C8" w14:textId="53BB424A" w:rsidR="002C1891" w:rsidRPr="00903069" w:rsidRDefault="00DA4B95" w:rsidP="003E03EF">
              <w:pPr>
                <w:spacing w:after="120"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AE6726">
                <w:rPr>
                  <w:rFonts w:ascii="Segoe UI" w:hAnsi="Segoe UI" w:cs="Segoe UI"/>
                  <w:sz w:val="20"/>
                  <w:szCs w:val="20"/>
                </w:rPr>
                <w:t>La Défense</w:t>
              </w:r>
              <w:r w:rsidR="00451F81">
                <w:rPr>
                  <w:rFonts w:ascii="Segoe UI" w:hAnsi="Segoe UI" w:cs="Segoe UI"/>
                  <w:sz w:val="20"/>
                  <w:szCs w:val="20"/>
                </w:rPr>
                <w:t xml:space="preserve"> (de 6 à 8% du PIB)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="00225C62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constitue un creuset de l’excellence technique </w:t>
              </w:r>
              <w:r w:rsidR="001E3905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de la Tech </w:t>
              </w:r>
              <w:r w:rsidR="003B6811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et</w:t>
              </w:r>
              <w:r w:rsidR="001E3905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 </w:t>
              </w:r>
              <w:r w:rsidR="00451F81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lui </w:t>
              </w:r>
              <w:r w:rsidR="001E3905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assure aussi</w:t>
              </w:r>
              <w:r w:rsidR="00F90924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 </w:t>
              </w:r>
              <w:r w:rsidR="001E3905" w:rsidRPr="00A037CF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des débouchés conséquents. 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>Elle</w:t>
              </w:r>
              <w:r w:rsidR="001E3905" w:rsidRPr="00AE6726">
                <w:rPr>
                  <w:rFonts w:ascii="Segoe UI" w:hAnsi="Segoe UI" w:cs="Segoe UI"/>
                  <w:sz w:val="20"/>
                  <w:szCs w:val="20"/>
                </w:rPr>
                <w:t xml:space="preserve"> draine tout l’écosystème d’innovation du pays</w:t>
              </w:r>
              <w:r w:rsidR="00451F81">
                <w:rPr>
                  <w:rFonts w:ascii="Segoe UI" w:hAnsi="Segoe UI" w:cs="Segoe UI"/>
                  <w:sz w:val="20"/>
                  <w:szCs w:val="20"/>
                </w:rPr>
                <w:t xml:space="preserve"> et c’est sans doute le premier employeur et exportateur du pays dans le secteur secondaire (industrie)</w:t>
              </w:r>
              <w:r w:rsidR="00AE6726" w:rsidRPr="00AE6726">
                <w:rPr>
                  <w:rFonts w:ascii="Segoe UI" w:hAnsi="Segoe UI" w:cs="Segoe UI"/>
                  <w:sz w:val="20"/>
                  <w:szCs w:val="20"/>
                </w:rPr>
                <w:t>.</w:t>
              </w:r>
              <w:r w:rsidR="001E3905" w:rsidRPr="00AE6726"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>Les entreprises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 xml:space="preserve"> des secteurs 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de haute technologie </w:t>
              </w:r>
              <w:r w:rsidR="00D27652">
                <w:rPr>
                  <w:rFonts w:ascii="Segoe UI" w:hAnsi="Segoe UI" w:cs="Segoe UI"/>
                  <w:sz w:val="20"/>
                  <w:szCs w:val="20"/>
                </w:rPr>
                <w:t>fournissent</w:t>
              </w:r>
              <w:r w:rsidRPr="00AE6726">
                <w:rPr>
                  <w:rFonts w:ascii="Segoe UI" w:hAnsi="Segoe UI" w:cs="Segoe UI"/>
                  <w:sz w:val="20"/>
                  <w:szCs w:val="20"/>
                </w:rPr>
                <w:t xml:space="preserve"> la Défense et l'industrie de la défense </w:t>
              </w:r>
              <w:r w:rsidR="0055713C" w:rsidRPr="00AE6726">
                <w:rPr>
                  <w:rFonts w:ascii="Segoe UI" w:hAnsi="Segoe UI" w:cs="Segoe UI"/>
                  <w:sz w:val="20"/>
                  <w:szCs w:val="20"/>
                </w:rPr>
                <w:t xml:space="preserve">est le plus grand </w:t>
              </w:r>
              <w:r w:rsidR="00451F81">
                <w:rPr>
                  <w:rFonts w:ascii="Segoe UI" w:hAnsi="Segoe UI" w:cs="Segoe UI"/>
                  <w:sz w:val="20"/>
                  <w:szCs w:val="20"/>
                </w:rPr>
                <w:t>utilisateur</w:t>
              </w:r>
              <w:r w:rsidR="0055713C" w:rsidRPr="00AE6726">
                <w:rPr>
                  <w:rFonts w:ascii="Segoe UI" w:hAnsi="Segoe UI" w:cs="Segoe UI"/>
                  <w:sz w:val="20"/>
                  <w:szCs w:val="20"/>
                </w:rPr>
                <w:t xml:space="preserve"> de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 xml:space="preserve"> la « </w:t>
              </w:r>
              <w:r w:rsidR="0055713C" w:rsidRPr="00AE6726">
                <w:rPr>
                  <w:rFonts w:ascii="Segoe UI" w:hAnsi="Segoe UI" w:cs="Segoe UI"/>
                  <w:sz w:val="20"/>
                  <w:szCs w:val="20"/>
                </w:rPr>
                <w:t>haute technologie</w:t>
              </w:r>
              <w:r w:rsidR="00777EB4">
                <w:rPr>
                  <w:rFonts w:ascii="Segoe UI" w:hAnsi="Segoe UI" w:cs="Segoe UI"/>
                  <w:sz w:val="20"/>
                  <w:szCs w:val="20"/>
                </w:rPr>
                <w:t> »</w:t>
              </w:r>
              <w:r w:rsidR="0055713C" w:rsidRPr="00AE6726">
                <w:rPr>
                  <w:rFonts w:ascii="Segoe UI" w:hAnsi="Segoe UI" w:cs="Segoe UI"/>
                  <w:sz w:val="20"/>
                  <w:szCs w:val="20"/>
                </w:rPr>
                <w:t>.</w:t>
              </w:r>
              <w:r w:rsidR="00451F81">
                <w:rPr>
                  <w:rFonts w:ascii="Segoe UI" w:hAnsi="Segoe UI" w:cs="Segoe UI"/>
                  <w:sz w:val="20"/>
                  <w:szCs w:val="20"/>
                </w:rPr>
                <w:t xml:space="preserve"> Les perspectives dans ce domaine apparaissent florissantes compte tenu de la relance de l’effort de défense en Europe suite à l’agression militaire russe. Israël se positionne en effet comme un fournisseur important dans plusieurs pays de l’UE.</w:t>
              </w:r>
            </w:p>
          </w:sdtContent>
        </w:sdt>
      </w:sdtContent>
    </w:sdt>
    <w:p w14:paraId="18286DE6" w14:textId="77777777" w:rsidR="00A30C33" w:rsidRDefault="00A30C33" w:rsidP="000F3D8D">
      <w:pPr>
        <w:jc w:val="both"/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</w:pPr>
      <w:r w:rsidRPr="00DD6005">
        <w:rPr>
          <w:rFonts w:ascii="Segoe UI" w:hAnsi="Segoe UI" w:cs="Segoe U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30FA667" wp14:editId="1A6FA51F">
                <wp:extent cx="6487064" cy="299720"/>
                <wp:effectExtent l="0" t="0" r="9525" b="5080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064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id w:val="613326141"/>
                              <w15:color w:val="FF00FF"/>
                            </w:sdtPr>
                            <w:sdtEndPr/>
                            <w:sdtContent>
                              <w:p w14:paraId="7C8DDB2E" w14:textId="6C3D20AE" w:rsidR="00A30C33" w:rsidRPr="00AE6726" w:rsidRDefault="00F36798" w:rsidP="00A30C33">
                                <w:pPr>
                                  <w:pStyle w:val="Paragraphedeliste"/>
                                  <w:numPr>
                                    <w:ilvl w:val="0"/>
                                    <w:numId w:val="12"/>
                                  </w:numPr>
                                  <w:spacing w:after="240" w:line="240" w:lineRule="auto"/>
                                  <w:ind w:left="284" w:hanging="284"/>
                                  <w:contextualSpacing w:val="0"/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egoe UI Historic" w:hAnsi="Segoe UI Historic" w:cs="Segoe UI Historic"/>
                                    <w:b/>
                                    <w:small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Des inégalités structurelles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FA667" id="_x0000_s1027" type="#_x0000_t202" style="width:510.8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" fillcolor="#006ce5" stroked="f">
                <v:textbox>
                  <w:txbxContent>
                    <w:sdt>
                      <w:sdtPr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id w:val="613326141"/>
                        <w15:color w:val="FF00FF"/>
                      </w:sdtPr>
                      <w:sdtEndPr/>
                      <w:sdtContent>
                        <w:p w14:paraId="7C8DDB2E" w14:textId="6C3D20AE" w:rsidR="00A30C33" w:rsidRPr="00AE6726" w:rsidRDefault="00F36798" w:rsidP="00A30C33">
                          <w:pPr>
                            <w:pStyle w:val="Paragraphedeliste"/>
                            <w:numPr>
                              <w:ilvl w:val="0"/>
                              <w:numId w:val="12"/>
                            </w:numPr>
                            <w:spacing w:after="240" w:line="240" w:lineRule="auto"/>
                            <w:ind w:left="284" w:hanging="284"/>
                            <w:contextualSpacing w:val="0"/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Historic" w:hAnsi="Segoe UI Historic" w:cs="Segoe UI Historic"/>
                              <w:b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Des inégalités structurelles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Style w:val="paragraphenoteSER"/>
          <w:rFonts w:cs="Arial"/>
          <w:color w:val="000000"/>
          <w:szCs w:val="24"/>
        </w:rPr>
        <w:alias w:val="paragraphe"/>
        <w:tag w:val="paragraphe"/>
        <w:id w:val="77176811"/>
        <w:placeholder>
          <w:docPart w:val="89EA2175B5D54B88A716A23B9327714E"/>
        </w:placeholder>
        <w15:color w:val="FF0000"/>
      </w:sdtPr>
      <w:sdtEndPr>
        <w:rPr>
          <w:rStyle w:val="Policepardfaut"/>
          <w:rFonts w:asciiTheme="minorHAnsi" w:eastAsia="Times New Roman" w:hAnsiTheme="minorHAnsi" w:cs="Segoe UI"/>
          <w:color w:val="222222"/>
          <w:sz w:val="22"/>
          <w:szCs w:val="20"/>
          <w:lang w:eastAsia="fr-FR"/>
        </w:rPr>
      </w:sdtEndPr>
      <w:sdtContent>
        <w:sdt>
          <w:sdtPr>
            <w:rPr>
              <w:rFonts w:ascii="Segoe UI" w:hAnsi="Segoe UI" w:cs="Arial"/>
              <w:color w:val="000000"/>
              <w:sz w:val="20"/>
              <w:szCs w:val="24"/>
            </w:rPr>
            <w:alias w:val="paragraphe"/>
            <w:tag w:val="paragraphe"/>
            <w:id w:val="-1001426248"/>
            <w:placeholder>
              <w:docPart w:val="5E878D37CD8B41699363A4134B312B7B"/>
            </w:placeholder>
            <w15:color w:val="FF0000"/>
          </w:sdtPr>
          <w:sdtEndPr>
            <w:rPr>
              <w:rFonts w:cstheme="minorBidi"/>
              <w:color w:val="auto"/>
              <w:szCs w:val="22"/>
            </w:rPr>
          </w:sdtEndPr>
          <w:sdtContent>
            <w:sdt>
              <w:sdtPr>
                <w:rPr>
                  <w:rFonts w:ascii="Segoe UI" w:hAnsi="Segoe UI" w:cs="Segoe UI"/>
                  <w:sz w:val="20"/>
                  <w:szCs w:val="20"/>
                </w:rPr>
                <w:alias w:val="paragraphe"/>
                <w:tag w:val="paragraphe"/>
                <w:id w:val="640160763"/>
                <w:placeholder>
                  <w:docPart w:val="B3F55111D59F4588885D4B3B8A5BB8CF"/>
                </w:placeholder>
                <w15:color w:val="FF000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0"/>
                      <w:szCs w:val="20"/>
                    </w:rPr>
                    <w:alias w:val="paragraphe"/>
                    <w:tag w:val="paragraphe"/>
                    <w:id w:val="-998417890"/>
                    <w:placeholder>
                      <w:docPart w:val="332911A90A1E4C5B815A3999C218A16F"/>
                    </w:placeholder>
                    <w15:color w:val="FF0000"/>
                  </w:sdtPr>
                  <w:sdtEndPr/>
                  <w:sdtContent>
                    <w:p w14:paraId="613597CB" w14:textId="77777777" w:rsidR="00451F81" w:rsidRDefault="00451F81" w:rsidP="00451F81">
                      <w:pPr>
                        <w:spacing w:after="120"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 « high Tech » emploierait 10,4% de la main d’œuvre du pays (pour 15,3% du PIB et 54% des exportations totales du pays) mais seuls 8% des travailleurs seraient au sein de « start ups » stricto sensu</w:t>
                      </w:r>
                      <w:r w:rsidRPr="00AE672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  <w:r w:rsidRPr="00AE6726">
                        <w:rPr>
                          <w:rStyle w:val="Appelnotedebasdep"/>
                          <w:rFonts w:ascii="Segoe UI" w:hAnsi="Segoe UI" w:cs="Segoe UI"/>
                          <w:sz w:val="20"/>
                          <w:szCs w:val="20"/>
                        </w:rPr>
                        <w:footnoteReference w:id="1"/>
                      </w:r>
                      <w:r w:rsidRPr="00AE672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39C412" w14:textId="064F6779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lastRenderedPageBreak/>
                        <w:t>Israël connaît une croissance soutenue (+6,3% attendus en 2022), en grande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partie due aux succès de la haute technologie. Toutefois</w:t>
                      </w:r>
                      <w:r w:rsidR="00451F8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ces succès </w:t>
                      </w:r>
                      <w:r w:rsidR="002C3E9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accentuent d’importantes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inégalités ethniques, sociales, géographiques</w:t>
                      </w:r>
                      <w:r w:rsidR="00D2765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</w:t>
                      </w:r>
                      <w:r w:rsidR="002C3E9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même </w:t>
                      </w:r>
                      <w:r w:rsidR="00D2765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de genre (la féminisation du secteur ne dépasse pas 13%)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14:paraId="4923AF12" w14:textId="6600CFE3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20AC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La proportion des employés arabes dans la High Tech varie de 1,8 à 3,6%</w:t>
                      </w:r>
                      <w:r w:rsidR="000751FA" w:rsidRPr="00520AC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alors qu’ils représentent 20% de la population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du pays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 15 % seulement des Arabes passent les plus hautes épreuves de mathématiques, leurs écoles primaires sont moins bien dotées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ils n’effectuent pas leur service militaire, sauf de rares exceptions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 En outre, la plupart des hautes technologies sont concentrées dans la région de Tel Aviv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des barrières géographiques et culturelles entravent alors l’insertion des travailleurs Arabes.</w:t>
                      </w:r>
                    </w:p>
                    <w:p w14:paraId="790018C8" w14:textId="7DC17D3F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765A7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La frange ultra-orthodoxe de la population (13% des 9,5 millions d’habitants) est également mal intégrée dans l’écosystème technologique israélien.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La faible participation des ultra-orthodoxes au marché du travail correspond à un choix de vie. Les hommes et les femmes ultra-orthodoxes ne représentent que 3% environ des employés du secteur de la haute technologie, ils tirent aussi vers le bas le taux d’emploi du pays qui ne dépasse pas les 65%. </w:t>
                      </w:r>
                    </w:p>
                    <w:p w14:paraId="13C3A94B" w14:textId="2A55D2CA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Le nombre d'employés salariés arabes dans le secteur de la haute technologie n'a augmenté que de 200 personnes en 2021, tandis que le nombre des ultra-orthodoxes diminuait de 700 personnes au cours de la même année, selon les données 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officielles 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du CBS.</w:t>
                      </w:r>
                    </w:p>
                    <w:p w14:paraId="544266CE" w14:textId="41A1CDFE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 vie coûte chère en Israël,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spécialement à Tel-Aviv. (1,5 x plus qu’à Paris environ). Les actifs cumulent souvent plusieurs activités. Vivre à Tel-Aviv est un choix pour « les laïcs » qui privilégient un environnement libéra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 Les inégalités salariales ont été analysés par l’OCDE qui fait ressortir que la « high Tech » verse des rémunérations deux fois et demi supérieures à celles de la moyenne nationale</w:t>
                      </w:r>
                      <w:r w:rsidR="000751F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désormais supérieures à celles observées à Londres dans le même secteur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 C’est 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là 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un des facteurs de </w:t>
                      </w:r>
                      <w:r w:rsidRPr="00520AC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l’inégalité de niveau de vie entre Tel Aviv, ville des start-ups, et le reste du pays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14:paraId="126ECE65" w14:textId="2B61DDE2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Autre facteur d’inégalité, les citoyens israéliens ne profitent que peu des fruits de l’innovation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tout comme la grande majorité des entreprises israéliennes « non-technologiques ». 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 « high Tech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 » israélienne 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vend au monde entier mais 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assez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peu en Israël qui n’est pas un marché d’épanouissement économique pour ces entreprises à la pointe de l’innovation. </w:t>
                      </w:r>
                    </w:p>
                    <w:p w14:paraId="6DD989DD" w14:textId="477402DE" w:rsidR="007765A7" w:rsidRPr="007765A7" w:rsidRDefault="007765A7" w:rsidP="007765A7">
                      <w:p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765A7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En définitive, l’homogénéité sociale qui caractérise la tech israélienne accroît les disparités socio-économiques</w:t>
                      </w:r>
                      <w:r w:rsidR="00520AC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du pays</w:t>
                      </w:r>
                      <w:r w:rsidRPr="007765A7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 </w:t>
                      </w:r>
                      <w:r w:rsidR="00520AC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</w:t>
                      </w:r>
                      <w:r w:rsidRPr="007765A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 taux de pauvreté du pays frôle les 20% et ne baisse pas.</w:t>
                      </w:r>
                    </w:p>
                  </w:sdtContent>
                </w:sdt>
              </w:sdtContent>
            </w:sdt>
            <w:p w14:paraId="6FA3D975" w14:textId="4D8AC3F1" w:rsidR="000F3D8D" w:rsidRPr="004E6DD5" w:rsidRDefault="006C066C" w:rsidP="007765A7">
              <w:pPr>
                <w:spacing w:line="240" w:lineRule="auto"/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</w:p>
          </w:sdtContent>
        </w:sdt>
      </w:sdtContent>
    </w:sdt>
    <w:p w14:paraId="620CCE98" w14:textId="5C9F8AFC" w:rsidR="00A30C33" w:rsidRDefault="00A30C33" w:rsidP="000F3D8D">
      <w:pPr>
        <w:jc w:val="both"/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</w:pPr>
      <w:r w:rsidRPr="00DD6005">
        <w:rPr>
          <w:rFonts w:ascii="Segoe UI" w:hAnsi="Segoe UI" w:cs="Segoe UI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481E58B9" wp14:editId="4F3E8F77">
                <wp:extent cx="6487064" cy="299720"/>
                <wp:effectExtent l="0" t="0" r="9525" b="5080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064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78FF" w14:textId="356DEFB6" w:rsidR="00A30C33" w:rsidRPr="00AE6726" w:rsidRDefault="00364EC6" w:rsidP="00A30C33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240" w:line="240" w:lineRule="auto"/>
                              <w:ind w:left="284" w:hanging="284"/>
                              <w:contextualSpacing w:val="0"/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Des carences en matière d’investissement</w:t>
                            </w:r>
                            <w:r w:rsidR="007765A7"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724B" w:rsidRPr="00AE6726"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3E92"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publics</w:t>
                            </w:r>
                            <w:r w:rsidR="004B724B" w:rsidRPr="00AE6726">
                              <w:rPr>
                                <w:rFonts w:ascii="Segoe UI Historic" w:hAnsi="Segoe UI Historic" w:cs="Segoe UI Historic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E58B9" id="_x0000_s1028" type="#_x0000_t202" style="width:510.8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" fillcolor="#006ce5" stroked="f">
                <v:textbox>
                  <w:txbxContent>
                    <w:p w14:paraId="51C478FF" w14:textId="356DEFB6" w:rsidR="00A30C33" w:rsidRPr="00AE6726" w:rsidRDefault="00364EC6" w:rsidP="00A30C33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240" w:line="240" w:lineRule="auto"/>
                        <w:ind w:left="284" w:hanging="284"/>
                        <w:contextualSpacing w:val="0"/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Des carences en matière d’investissement</w:t>
                      </w:r>
                      <w:r w:rsidR="007765A7"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B724B" w:rsidRPr="00AE6726"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2C3E92"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publics</w:t>
                      </w:r>
                      <w:r w:rsidR="004B724B" w:rsidRPr="00AE6726">
                        <w:rPr>
                          <w:rFonts w:ascii="Segoe UI Historic" w:hAnsi="Segoe UI Historic" w:cs="Segoe UI Historic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Segoe UI" w:hAnsi="Segoe UI" w:cs="Segoe UI"/>
          <w:sz w:val="20"/>
          <w:szCs w:val="20"/>
        </w:rPr>
        <w:alias w:val="paragraphe"/>
        <w:tag w:val="paragraphe"/>
        <w:id w:val="266209713"/>
        <w:placeholder>
          <w:docPart w:val="1933C4BC82CF4709906349A4D0935AE0"/>
        </w:placeholder>
        <w15:color w:val="FF0000"/>
      </w:sdtPr>
      <w:sdtEndPr/>
      <w:sdtContent>
        <w:sdt>
          <w:sdtPr>
            <w:rPr>
              <w:rFonts w:ascii="Segoe UI" w:hAnsi="Segoe UI" w:cs="Segoe UI"/>
              <w:sz w:val="20"/>
              <w:szCs w:val="20"/>
            </w:rPr>
            <w:alias w:val="paragraphe"/>
            <w:tag w:val="paragraphe"/>
            <w:id w:val="-1556610945"/>
            <w:placeholder>
              <w:docPart w:val="B7DA464187354DA680EC31FC1DA2D644"/>
            </w:placeholder>
            <w15:color w:val="FF0000"/>
          </w:sdtPr>
          <w:sdtEndPr/>
          <w:sdtContent>
            <w:p w14:paraId="4BEE8015" w14:textId="06B60495" w:rsidR="007765A7" w:rsidRPr="007765A7" w:rsidRDefault="007765A7" w:rsidP="007765A7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t>Modernité et retards de développement caractérisent Israël</w:t>
              </w:r>
              <w:r w:rsidR="002C3E92">
                <w:rPr>
                  <w:rFonts w:ascii="Segoe UI" w:hAnsi="Segoe UI" w:cs="Segoe UI"/>
                  <w:sz w:val="20"/>
                  <w:szCs w:val="20"/>
                </w:rPr>
                <w:t xml:space="preserve"> et en même temps le pays voit sa structure économique se normaliser par rapport à celle des pays les plus en vue de l’OCDE. La part de l’agriculture est désormais très marginale, celle de la défense diminue régulièrement depuis 35 ans.</w:t>
              </w:r>
            </w:p>
            <w:p w14:paraId="4E7BCC51" w14:textId="662E6DA8" w:rsidR="00FB374D" w:rsidRDefault="00520AC2" w:rsidP="007765A7">
              <w:pPr>
                <w:jc w:val="both"/>
                <w:rPr>
                  <w:rFonts w:ascii="Segoe UI" w:hAnsi="Segoe UI" w:cs="Segoe UI"/>
                  <w:b/>
                  <w:bCs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Les </w:t>
              </w:r>
              <w:r w:rsidR="002C3E92">
                <w:rPr>
                  <w:rFonts w:ascii="Segoe UI" w:hAnsi="Segoe UI" w:cs="Segoe UI"/>
                  <w:sz w:val="20"/>
                  <w:szCs w:val="20"/>
                </w:rPr>
                <w:t xml:space="preserve">paradoxes perdurent cependant. Les </w:t>
              </w:r>
              <w:r w:rsidRPr="007765A7">
                <w:rPr>
                  <w:rFonts w:ascii="Segoe UI" w:hAnsi="Segoe UI" w:cs="Segoe UI"/>
                  <w:sz w:val="20"/>
                  <w:szCs w:val="20"/>
                </w:rPr>
                <w:t>entreprises de technologie climatique ont le vent en poupe grâce au fonds de capital-risque spécialisés comme Firstime Ventures et Capital Nature. En 2019, 10% des créations de startups en Israël contribuaient à faire face au changement climatique. Une proportion qui monte à 14% cette année. Une enquête de Planet</w:t>
              </w:r>
              <w:r w:rsidR="00FB374D"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Tech ressence 694 startups israéliennes agissant pour lutter contre le changement climatique. Ces startups proposent des solutions pour réduire les émissions de gaz à effet de serre (Via et Optibus dans le domaine des transports) ou des incitations aux consommateurs (rabais à mesure que la date de péremption des produits alimentaires approche). </w:t>
              </w:r>
            </w:p>
            <w:p w14:paraId="17B491FA" w14:textId="1377D4DC" w:rsidR="007765A7" w:rsidRPr="00FB374D" w:rsidRDefault="00FB374D" w:rsidP="007765A7">
              <w:pPr>
                <w:jc w:val="both"/>
                <w:rPr>
                  <w:rFonts w:ascii="Segoe UI" w:hAnsi="Segoe UI" w:cs="Segoe UI"/>
                  <w:b/>
                  <w:bCs/>
                  <w:sz w:val="20"/>
                  <w:szCs w:val="20"/>
                </w:rPr>
              </w:pPr>
              <w: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Pourtant, l</w:t>
              </w:r>
              <w:r w:rsidR="007765A7" w:rsidRPr="007765A7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a conscience écologique du pays est à la traîne par rapport aux autres pays de l’OCDE.</w:t>
              </w:r>
              <w:r w:rsidR="007765A7" w:rsidRPr="007765A7">
                <w:rPr>
                  <w:rFonts w:ascii="Segoe UI" w:hAnsi="Segoe UI" w:cs="Segoe UI"/>
                  <w:sz w:val="20"/>
                  <w:szCs w:val="20"/>
                </w:rPr>
                <w:t xml:space="preserve"> </w:t>
              </w:r>
            </w:p>
            <w:p w14:paraId="0D206517" w14:textId="4232737F" w:rsidR="007765A7" w:rsidRPr="007765A7" w:rsidRDefault="007765A7" w:rsidP="007765A7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La pollution plastique ne se résorbe pas encore. Le système de recyclage des déchets connait des carences </w:t>
              </w:r>
              <w:r w:rsidR="00FB374D">
                <w:rPr>
                  <w:rFonts w:ascii="Segoe UI" w:hAnsi="Segoe UI" w:cs="Segoe UI"/>
                  <w:sz w:val="20"/>
                  <w:szCs w:val="20"/>
                </w:rPr>
                <w:t xml:space="preserve">et </w:t>
              </w:r>
              <w:r w:rsidRPr="007765A7">
                <w:rPr>
                  <w:rFonts w:ascii="Segoe UI" w:hAnsi="Segoe UI" w:cs="Segoe UI"/>
                  <w:sz w:val="20"/>
                  <w:szCs w:val="20"/>
                </w:rPr>
                <w:t>le premier incinérateur vient juste d’être mis en service.</w:t>
              </w:r>
            </w:p>
            <w:p w14:paraId="5735656B" w14:textId="63631783" w:rsidR="000949E7" w:rsidRPr="007765A7" w:rsidRDefault="007765A7" w:rsidP="007765A7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lastRenderedPageBreak/>
                <w:t xml:space="preserve">L’efficacité </w:t>
              </w:r>
              <w:r w:rsidR="00FB374D">
                <w:rPr>
                  <w:rFonts w:ascii="Segoe UI" w:hAnsi="Segoe UI" w:cs="Segoe UI"/>
                  <w:sz w:val="20"/>
                  <w:szCs w:val="20"/>
                </w:rPr>
                <w:t xml:space="preserve">légendaire </w:t>
              </w: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de l’irrigation et de l’utilisation de l’eau (habitation et agriculture), cache une production d’énergie peu décarbonée (le charbon importé assure encore 25% de la production électrique). La transition écologique israélienne est lente, l’objectif de 30% d’énergie d’origine renouvelable (essentiellement solaire) à horizon 2030 semble inatteignable. </w:t>
              </w:r>
              <w:r w:rsidR="00FB374D">
                <w:rPr>
                  <w:rFonts w:ascii="Segoe UI" w:hAnsi="Segoe UI" w:cs="Segoe UI"/>
                  <w:sz w:val="20"/>
                  <w:szCs w:val="20"/>
                </w:rPr>
                <w:t>Peut-être parce que l</w:t>
              </w:r>
              <w:r w:rsidRPr="007765A7">
                <w:rPr>
                  <w:rFonts w:ascii="Segoe UI" w:hAnsi="Segoe UI" w:cs="Segoe UI"/>
                  <w:sz w:val="20"/>
                  <w:szCs w:val="20"/>
                </w:rPr>
                <w:t>e gaz naturel produit au large des côtes assure un autonomie énergétique durable.</w:t>
              </w:r>
            </w:p>
            <w:p w14:paraId="3E62611E" w14:textId="7F110EE1" w:rsidR="007765A7" w:rsidRPr="007765A7" w:rsidRDefault="007765A7" w:rsidP="007765A7">
              <w:pPr>
                <w:jc w:val="both"/>
                <w:rPr>
                  <w:rFonts w:ascii="Segoe UI" w:hAnsi="Segoe UI" w:cs="Segoe UI"/>
                  <w:b/>
                  <w:bCs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La prospérité d’Israël passera par le comblement des retards en matière d’infrastructures de </w:t>
              </w:r>
              <w:r w:rsidR="000949E7" w:rsidRPr="007765A7"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t>réseaux.</w:t>
              </w:r>
            </w:p>
            <w:p w14:paraId="243E7141" w14:textId="77777777" w:rsidR="00FB374D" w:rsidRDefault="007765A7" w:rsidP="005E04CC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La population d’Israël devrait doubler en 20 ans ce qui aura des conséquences majeures et fera rapidement d’Israël le pays le plus densément peuplé de l’OCDE. La nécessité d’investir 2% du PIB israélien dans les transports, chaque année, jusqu’en 2040 est communément reconnue par les économistes. Au cours de la décennie précédente l’effort d’investissement correspondant était de 1 point de PIB et, ce qui est planifié à ce stade, ne représente que 1,4 point de PIB sur les 10 prochaines années. </w:t>
              </w:r>
            </w:p>
            <w:p w14:paraId="335C6C31" w14:textId="77777777" w:rsidR="00FB374D" w:rsidRDefault="00FB374D" w:rsidP="005E04CC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  <w:r w:rsidRPr="007765A7">
                <w:rPr>
                  <w:rFonts w:ascii="Segoe UI" w:hAnsi="Segoe UI" w:cs="Segoe UI"/>
                  <w:sz w:val="20"/>
                  <w:szCs w:val="20"/>
                </w:rPr>
                <w:t xml:space="preserve">Israël est déjà le pays le plus embouteillé de l’OCDE. </w:t>
              </w:r>
              <w:r w:rsidR="007765A7" w:rsidRPr="007765A7">
                <w:rPr>
                  <w:rFonts w:ascii="Segoe UI" w:hAnsi="Segoe UI" w:cs="Segoe UI"/>
                  <w:sz w:val="20"/>
                  <w:szCs w:val="20"/>
                </w:rPr>
                <w:t>Il faudrait faire passer la part du transport public de 10-20% actuellement à 40% afin de raccourcir le temps de transport moyen de 30% au niveau national</w:t>
              </w:r>
              <w:r>
                <w:rPr>
                  <w:rFonts w:ascii="Segoe UI" w:hAnsi="Segoe UI" w:cs="Segoe UI"/>
                  <w:sz w:val="20"/>
                  <w:szCs w:val="20"/>
                </w:rPr>
                <w:t xml:space="preserve">. </w:t>
              </w:r>
              <w:r w:rsidR="007765A7" w:rsidRPr="007765A7">
                <w:rPr>
                  <w:rFonts w:ascii="Segoe UI" w:hAnsi="Segoe UI" w:cs="Segoe UI"/>
                  <w:sz w:val="20"/>
                  <w:szCs w:val="20"/>
                </w:rPr>
                <w:t>La contribution de chaque travailleur à la formation du PIB serait alors augmentée de 5,4%. Toutefois, les nécessités d’une coordination et l’ampleur des investissements (plus de 250 milliards EUR sur 18 ans) font planer un doute sur la capacité administrative d’Israël à gérer de si grands projets.</w:t>
              </w:r>
            </w:p>
            <w:p w14:paraId="124212F2" w14:textId="77777777" w:rsidR="00FB374D" w:rsidRDefault="00FB374D" w:rsidP="005E04CC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</w:p>
            <w:p w14:paraId="4A83E9AA" w14:textId="7BAF61A6" w:rsidR="005E04CC" w:rsidRPr="00520AC2" w:rsidRDefault="006C066C" w:rsidP="005E04CC">
              <w:pPr>
                <w:jc w:val="both"/>
                <w:rPr>
                  <w:rFonts w:ascii="Segoe UI" w:hAnsi="Segoe UI" w:cs="Segoe UI"/>
                  <w:sz w:val="20"/>
                  <w:szCs w:val="20"/>
                </w:rPr>
              </w:pPr>
            </w:p>
          </w:sdtContent>
        </w:sdt>
      </w:sdtContent>
    </w:sdt>
    <w:sectPr w:rsidR="005E04CC" w:rsidRPr="00520AC2" w:rsidSect="004519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615A" w14:textId="77777777" w:rsidR="006C066C" w:rsidRDefault="006C066C" w:rsidP="004432FE">
      <w:pPr>
        <w:spacing w:after="0" w:line="240" w:lineRule="auto"/>
      </w:pPr>
      <w:r>
        <w:separator/>
      </w:r>
    </w:p>
  </w:endnote>
  <w:endnote w:type="continuationSeparator" w:id="0">
    <w:p w14:paraId="076A7D24" w14:textId="77777777" w:rsidR="006C066C" w:rsidRDefault="006C066C" w:rsidP="0044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78066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422953B3" w14:textId="77777777" w:rsidR="00904EBC" w:rsidRPr="004F6F24" w:rsidRDefault="00904EBC">
        <w:pPr>
          <w:pStyle w:val="Pieddepage"/>
          <w:jc w:val="right"/>
          <w:rPr>
            <w:rFonts w:ascii="Segoe UI" w:hAnsi="Segoe UI" w:cs="Segoe UI"/>
            <w:sz w:val="20"/>
            <w:szCs w:val="20"/>
          </w:rPr>
        </w:pPr>
        <w:r w:rsidRPr="004F6F24">
          <w:rPr>
            <w:rFonts w:ascii="Segoe UI" w:hAnsi="Segoe UI" w:cs="Segoe UI"/>
            <w:sz w:val="20"/>
            <w:szCs w:val="20"/>
          </w:rPr>
          <w:fldChar w:fldCharType="begin"/>
        </w:r>
        <w:r w:rsidRPr="004F6F24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F6F24">
          <w:rPr>
            <w:rFonts w:ascii="Segoe UI" w:hAnsi="Segoe UI" w:cs="Segoe UI"/>
            <w:sz w:val="20"/>
            <w:szCs w:val="20"/>
          </w:rPr>
          <w:fldChar w:fldCharType="separate"/>
        </w:r>
        <w:r w:rsidR="006C45F5">
          <w:rPr>
            <w:rFonts w:ascii="Segoe UI" w:hAnsi="Segoe UI" w:cs="Segoe UI"/>
            <w:noProof/>
            <w:sz w:val="20"/>
            <w:szCs w:val="20"/>
          </w:rPr>
          <w:t>2</w:t>
        </w:r>
        <w:r w:rsidRPr="004F6F24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67CC94D" w14:textId="77777777" w:rsidR="00353DA6" w:rsidRPr="007F0111" w:rsidRDefault="00FB7DCE" w:rsidP="00353DA6">
    <w:pPr>
      <w:pStyle w:val="Pieddepage"/>
      <w:jc w:val="center"/>
      <w:rPr>
        <w:smallCaps/>
        <w:sz w:val="14"/>
      </w:rPr>
    </w:pPr>
    <w:r>
      <w:rPr>
        <w:smallCaps/>
        <w:noProof/>
        <w:sz w:val="14"/>
        <w:lang w:eastAsia="fr-FR"/>
      </w:rPr>
      <w:drawing>
        <wp:anchor distT="0" distB="0" distL="114300" distR="114300" simplePos="0" relativeHeight="251686912" behindDoc="0" locked="0" layoutInCell="1" allowOverlap="1" wp14:anchorId="2AC71705" wp14:editId="32CAF3AF">
          <wp:simplePos x="0" y="0"/>
          <wp:positionH relativeFrom="leftMargin">
            <wp:posOffset>180340</wp:posOffset>
          </wp:positionH>
          <wp:positionV relativeFrom="paragraph">
            <wp:posOffset>24130</wp:posOffset>
          </wp:positionV>
          <wp:extent cx="744855" cy="287655"/>
          <wp:effectExtent l="0" t="0" r="0" b="0"/>
          <wp:wrapThrough wrapText="bothSides">
            <wp:wrapPolygon edited="0">
              <wp:start x="0" y="0"/>
              <wp:lineTo x="0" y="20026"/>
              <wp:lineTo x="20992" y="20026"/>
              <wp:lineTo x="2099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sor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DA6">
      <w:rPr>
        <w:smallCaps/>
        <w:sz w:val="14"/>
      </w:rPr>
      <w:t>Service Économique Régional – Ambassade de France au L</w:t>
    </w:r>
    <w:r w:rsidR="00353DA6" w:rsidRPr="007F0111">
      <w:rPr>
        <w:smallCaps/>
        <w:sz w:val="14"/>
      </w:rPr>
      <w:t>iban</w:t>
    </w:r>
  </w:p>
  <w:p w14:paraId="3C436F8E" w14:textId="77777777" w:rsidR="004432FE" w:rsidRPr="00353DA6" w:rsidRDefault="00353DA6" w:rsidP="00353DA6">
    <w:pPr>
      <w:pStyle w:val="Pieddepage"/>
      <w:jc w:val="center"/>
      <w:rPr>
        <w:smallCaps/>
        <w:sz w:val="14"/>
      </w:rPr>
    </w:pPr>
    <w:r w:rsidRPr="007F0111">
      <w:rPr>
        <w:smallCaps/>
        <w:sz w:val="14"/>
      </w:rPr>
      <w:t>Espace des lettres – rue de damas – Beyrouth – Liban – tel : +961 (0) 1 420 1</w:t>
    </w:r>
    <w:r>
      <w:rPr>
        <w:smallCaps/>
        <w:sz w:val="14"/>
      </w:rPr>
      <w:t>61</w:t>
    </w:r>
    <w:r w:rsidRPr="007F0111">
      <w:rPr>
        <w:rFonts w:ascii="Segoe UI" w:hAnsi="Segoe UI" w:cs="Segoe UI"/>
        <w:b/>
        <w:smallCaps/>
        <w:noProof/>
        <w:color w:val="006CE5"/>
        <w:sz w:val="28"/>
        <w:szCs w:val="44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F34463" wp14:editId="45934C34">
              <wp:simplePos x="0" y="0"/>
              <wp:positionH relativeFrom="page">
                <wp:align>left</wp:align>
              </wp:positionH>
              <wp:positionV relativeFrom="page">
                <wp:posOffset>10441305</wp:posOffset>
              </wp:positionV>
              <wp:extent cx="7779600" cy="122400"/>
              <wp:effectExtent l="0" t="0" r="0" b="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9600" cy="122400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F8A74" id="Rectangle 18" o:spid="_x0000_s1026" style="position:absolute;margin-left:0;margin-top:822.15pt;width:612.55pt;height:9.65pt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" fillcolor="#006ce5" stroked="f" strokeweight="1pt">
              <w10:wrap type="square" anchorx="page" anchory="page"/>
            </v:rect>
          </w:pict>
        </mc:Fallback>
      </mc:AlternateContent>
    </w:r>
    <w:r>
      <w:rPr>
        <w:smallCaps/>
        <w:sz w:val="14"/>
      </w:rPr>
      <w:t xml:space="preserve"> - @ : beyrouth@dgtresor.gouv.fr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ECC" w14:textId="77777777" w:rsidR="00DD1D6D" w:rsidRPr="007F0111" w:rsidRDefault="00E44D32" w:rsidP="009371FF">
    <w:pPr>
      <w:pStyle w:val="Pieddepage"/>
      <w:jc w:val="center"/>
      <w:rPr>
        <w:smallCaps/>
        <w:sz w:val="14"/>
      </w:rPr>
    </w:pPr>
    <w:r>
      <w:rPr>
        <w:smallCaps/>
        <w:noProof/>
        <w:sz w:val="14"/>
        <w:lang w:eastAsia="fr-FR"/>
      </w:rPr>
      <w:drawing>
        <wp:anchor distT="0" distB="0" distL="114300" distR="114300" simplePos="0" relativeHeight="251682816" behindDoc="0" locked="0" layoutInCell="1" allowOverlap="1" wp14:anchorId="124A4F31" wp14:editId="47CCB6B5">
          <wp:simplePos x="0" y="0"/>
          <wp:positionH relativeFrom="leftMargin">
            <wp:posOffset>180340</wp:posOffset>
          </wp:positionH>
          <wp:positionV relativeFrom="paragraph">
            <wp:posOffset>71755</wp:posOffset>
          </wp:positionV>
          <wp:extent cx="745200" cy="288000"/>
          <wp:effectExtent l="0" t="0" r="0" b="0"/>
          <wp:wrapThrough wrapText="bothSides">
            <wp:wrapPolygon edited="0">
              <wp:start x="0" y="0"/>
              <wp:lineTo x="0" y="20026"/>
              <wp:lineTo x="20992" y="20026"/>
              <wp:lineTo x="20992" y="0"/>
              <wp:lineTo x="0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sor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111">
      <w:rPr>
        <w:smallCaps/>
        <w:sz w:val="14"/>
      </w:rPr>
      <w:t xml:space="preserve">Service Économique – Ambassade de France </w:t>
    </w:r>
    <w:r w:rsidR="009371FF">
      <w:rPr>
        <w:smallCaps/>
        <w:sz w:val="14"/>
      </w:rPr>
      <w:t>en Israël</w:t>
    </w:r>
  </w:p>
  <w:p w14:paraId="2D859B64" w14:textId="77777777" w:rsidR="009371FF" w:rsidRPr="006142BE" w:rsidRDefault="00093664" w:rsidP="00B6781E">
    <w:pPr>
      <w:jc w:val="center"/>
      <w:rPr>
        <w:rFonts w:ascii="Calibri" w:hAnsi="Calibri" w:cs="Calibri"/>
        <w:smallCaps/>
        <w:color w:val="000000"/>
        <w:sz w:val="14"/>
        <w:szCs w:val="14"/>
      </w:rPr>
    </w:pPr>
    <w:r w:rsidRPr="009371FF">
      <w:rPr>
        <w:rFonts w:ascii="Calibri" w:hAnsi="Calibri" w:cs="Calibri"/>
        <w:b/>
        <w:smallCaps/>
        <w:noProof/>
        <w:color w:val="006CE5"/>
        <w:sz w:val="24"/>
        <w:szCs w:val="4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8A2888" wp14:editId="364196AA">
              <wp:simplePos x="0" y="0"/>
              <wp:positionH relativeFrom="page">
                <wp:posOffset>0</wp:posOffset>
              </wp:positionH>
              <wp:positionV relativeFrom="page">
                <wp:posOffset>10441305</wp:posOffset>
              </wp:positionV>
              <wp:extent cx="7560000" cy="108000"/>
              <wp:effectExtent l="0" t="0" r="3175" b="635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8000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5E3F2" id="Rectangle 4" o:spid="_x0000_s1026" style="position:absolute;margin-left:0;margin-top:822.15pt;width:595.3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" fillcolor="#006ce5" stroked="f" strokeweight="1pt">
              <w10:wrap type="square" anchorx="page" anchory="page"/>
            </v:rect>
          </w:pict>
        </mc:Fallback>
      </mc:AlternateContent>
    </w:r>
    <w:r w:rsidR="006142BE">
      <w:rPr>
        <w:rFonts w:ascii="Calibri" w:hAnsi="Calibri" w:cs="Calibri"/>
        <w:smallCaps/>
        <w:color w:val="000000"/>
        <w:sz w:val="14"/>
        <w:szCs w:val="14"/>
      </w:rPr>
      <w:t xml:space="preserve">2 Jabotinsky </w:t>
    </w:r>
    <w:r w:rsidR="00B6781E">
      <w:rPr>
        <w:rFonts w:ascii="Calibri" w:hAnsi="Calibri" w:cs="Calibri"/>
        <w:smallCaps/>
        <w:color w:val="000000"/>
        <w:sz w:val="14"/>
        <w:szCs w:val="14"/>
      </w:rPr>
      <w:t>Street,</w:t>
    </w:r>
    <w:r w:rsidR="009371FF" w:rsidRPr="009371FF">
      <w:rPr>
        <w:rFonts w:ascii="Calibri" w:hAnsi="Calibri" w:cs="Calibri"/>
        <w:smallCaps/>
        <w:color w:val="000000"/>
        <w:sz w:val="14"/>
        <w:szCs w:val="14"/>
      </w:rPr>
      <w:t xml:space="preserve"> 5250501 Ramat-Gan, Israël</w:t>
    </w:r>
    <w:r w:rsidR="006142BE">
      <w:rPr>
        <w:rFonts w:ascii="Calibri" w:hAnsi="Calibri" w:cs="Calibri"/>
        <w:smallCaps/>
        <w:color w:val="000000"/>
        <w:sz w:val="14"/>
        <w:szCs w:val="14"/>
      </w:rPr>
      <w:t xml:space="preserve"> </w:t>
    </w:r>
    <w:r w:rsidR="00B6781E">
      <w:rPr>
        <w:rFonts w:ascii="Calibri" w:hAnsi="Calibri" w:cs="Calibri"/>
        <w:smallCaps/>
        <w:color w:val="000000"/>
        <w:sz w:val="14"/>
        <w:szCs w:val="14"/>
      </w:rPr>
      <w:t>–</w:t>
    </w:r>
    <w:r w:rsidR="006142BE">
      <w:rPr>
        <w:rFonts w:ascii="Calibri" w:hAnsi="Calibri" w:cs="Calibri"/>
        <w:smallCaps/>
        <w:color w:val="000000"/>
        <w:sz w:val="14"/>
        <w:szCs w:val="14"/>
      </w:rPr>
      <w:t xml:space="preserve"> </w:t>
    </w:r>
    <w:r w:rsidR="00B6781E">
      <w:rPr>
        <w:rFonts w:ascii="Calibri" w:hAnsi="Calibri" w:cs="Calibri"/>
        <w:smallCaps/>
        <w:color w:val="000000"/>
        <w:sz w:val="14"/>
        <w:szCs w:val="14"/>
      </w:rPr>
      <w:t xml:space="preserve">Tél : </w:t>
    </w:r>
    <w:r w:rsidR="006142BE" w:rsidRPr="006142BE">
      <w:rPr>
        <w:rFonts w:cstheme="minorHAnsi"/>
        <w:color w:val="333333"/>
        <w:sz w:val="14"/>
        <w:szCs w:val="14"/>
        <w:shd w:val="clear" w:color="auto" w:fill="FFFFFF"/>
      </w:rPr>
      <w:t>+972 3 546 65 35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6FA8" w14:textId="77777777" w:rsidR="006C066C" w:rsidRDefault="006C066C" w:rsidP="004432FE">
      <w:pPr>
        <w:spacing w:after="0" w:line="240" w:lineRule="auto"/>
      </w:pPr>
      <w:r>
        <w:separator/>
      </w:r>
    </w:p>
  </w:footnote>
  <w:footnote w:type="continuationSeparator" w:id="0">
    <w:p w14:paraId="51466757" w14:textId="77777777" w:rsidR="006C066C" w:rsidRDefault="006C066C" w:rsidP="004432FE">
      <w:pPr>
        <w:spacing w:after="0" w:line="240" w:lineRule="auto"/>
      </w:pPr>
      <w:r>
        <w:continuationSeparator/>
      </w:r>
    </w:p>
  </w:footnote>
  <w:footnote w:id="1">
    <w:p w14:paraId="776AB554" w14:textId="77777777" w:rsidR="00451F81" w:rsidRDefault="00451F81" w:rsidP="00451F81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3E03EF">
        <w:rPr>
          <w:rFonts w:ascii="Segoe UI" w:hAnsi="Segoe UI"/>
        </w:rPr>
        <w:t>Annual Innovation Report</w:t>
      </w:r>
      <w:r>
        <w:rPr>
          <w:rFonts w:ascii="Segoe UI" w:hAnsi="Segoe UI"/>
        </w:rPr>
        <w:t xml:space="preserve">, </w:t>
      </w:r>
      <w:r w:rsidRPr="003E03EF">
        <w:rPr>
          <w:rFonts w:ascii="Segoe UI" w:hAnsi="Segoe UI"/>
        </w:rPr>
        <w:t>State of High-Tech</w:t>
      </w:r>
      <w:r>
        <w:rPr>
          <w:rFonts w:ascii="Segoe UI" w:hAnsi="Segoe UI"/>
        </w:rPr>
        <w:t xml:space="preserve">, </w:t>
      </w:r>
      <w:r w:rsidRPr="003E03EF">
        <w:rPr>
          <w:rFonts w:ascii="Segoe UI" w:hAnsi="Segoe UI"/>
        </w:rPr>
        <w:t>2022</w:t>
      </w:r>
      <w:r>
        <w:rPr>
          <w:rFonts w:ascii="Segoe UI" w:hAnsi="Segoe UI"/>
        </w:rPr>
        <w:t>, Israel Innovation Authority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7996" w14:textId="77777777" w:rsidR="004432FE" w:rsidRDefault="00FB7DCE" w:rsidP="004432FE">
    <w:pPr>
      <w:pStyle w:val="En-tte"/>
    </w:pPr>
    <w:r>
      <w:rPr>
        <w:smallCaps/>
        <w:noProof/>
        <w:sz w:val="14"/>
        <w:lang w:eastAsia="fr-FR"/>
      </w:rPr>
      <w:drawing>
        <wp:anchor distT="0" distB="0" distL="114300" distR="114300" simplePos="0" relativeHeight="251684864" behindDoc="0" locked="0" layoutInCell="1" allowOverlap="1" wp14:anchorId="62A766F8" wp14:editId="4B261B73">
          <wp:simplePos x="0" y="0"/>
          <wp:positionH relativeFrom="leftMargin">
            <wp:posOffset>180340</wp:posOffset>
          </wp:positionH>
          <wp:positionV relativeFrom="paragraph">
            <wp:posOffset>-93345</wp:posOffset>
          </wp:positionV>
          <wp:extent cx="744855" cy="287655"/>
          <wp:effectExtent l="0" t="0" r="0" b="0"/>
          <wp:wrapThrough wrapText="bothSides">
            <wp:wrapPolygon edited="0">
              <wp:start x="0" y="0"/>
              <wp:lineTo x="0" y="20026"/>
              <wp:lineTo x="20992" y="20026"/>
              <wp:lineTo x="20992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sor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664"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7DF13" wp14:editId="33359CA4">
              <wp:simplePos x="0" y="0"/>
              <wp:positionH relativeFrom="page">
                <wp:posOffset>-1270</wp:posOffset>
              </wp:positionH>
              <wp:positionV relativeFrom="page">
                <wp:posOffset>180340</wp:posOffset>
              </wp:positionV>
              <wp:extent cx="7779600" cy="122400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9600" cy="122400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E702" id="Rectangle 1" o:spid="_x0000_s1026" style="position:absolute;margin-left:-.1pt;margin-top:14.2pt;width:612.5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" fillcolor="#006ce5" stroked="f" strokeweight="1pt">
              <w10:wrap type="square" anchorx="page" anchory="page"/>
            </v:rect>
          </w:pict>
        </mc:Fallback>
      </mc:AlternateContent>
    </w:r>
  </w:p>
  <w:p w14:paraId="673C3A32" w14:textId="77777777" w:rsidR="004432FE" w:rsidRDefault="004432FE" w:rsidP="004432F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A258" w14:textId="77777777" w:rsidR="004432FE" w:rsidRPr="00DD1D6D" w:rsidRDefault="009371FF" w:rsidP="00451988">
    <w:pPr>
      <w:pStyle w:val="En-tte"/>
      <w:tabs>
        <w:tab w:val="clear" w:pos="4536"/>
      </w:tabs>
      <w:rPr>
        <w:sz w:val="14"/>
      </w:rPr>
    </w:pPr>
    <w:r>
      <w:rPr>
        <w:noProof/>
        <w:lang w:eastAsia="fr-FR"/>
      </w:rPr>
      <w:drawing>
        <wp:anchor distT="0" distB="0" distL="114300" distR="114300" simplePos="0" relativeHeight="251687936" behindDoc="0" locked="0" layoutInCell="1" allowOverlap="1" wp14:anchorId="3EDF303F" wp14:editId="134AB40F">
          <wp:simplePos x="0" y="0"/>
          <wp:positionH relativeFrom="margin">
            <wp:posOffset>-41064</wp:posOffset>
          </wp:positionH>
          <wp:positionV relativeFrom="paragraph">
            <wp:posOffset>72178</wp:posOffset>
          </wp:positionV>
          <wp:extent cx="1152000" cy="1152000"/>
          <wp:effectExtent l="0" t="0" r="0" b="0"/>
          <wp:wrapNone/>
          <wp:docPr id="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72E" w:rsidRPr="006F772E">
      <w:rPr>
        <w:noProof/>
        <w:sz w:val="14"/>
        <w:lang w:eastAsia="fr-FR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33EA6EC1" wp14:editId="43A7AAA5">
              <wp:simplePos x="0" y="0"/>
              <wp:positionH relativeFrom="margin">
                <wp:align>right</wp:align>
              </wp:positionH>
              <wp:positionV relativeFrom="paragraph">
                <wp:posOffset>143510</wp:posOffset>
              </wp:positionV>
              <wp:extent cx="3049200" cy="291600"/>
              <wp:effectExtent l="0" t="0" r="0" b="0"/>
              <wp:wrapSquare wrapText="bothSides"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00" cy="29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09D69" w14:textId="77777777" w:rsidR="006F772E" w:rsidRPr="006F772E" w:rsidRDefault="006F772E" w:rsidP="009371FF">
                          <w:pPr>
                            <w:tabs>
                              <w:tab w:val="left" w:pos="3969"/>
                            </w:tabs>
                            <w:spacing w:after="120" w:line="240" w:lineRule="auto"/>
                            <w:jc w:val="center"/>
                            <w:rPr>
                              <w:rFonts w:ascii="Segoe UI" w:eastAsia="SimSun" w:hAnsi="Segoe UI" w:cs="Segoe UI"/>
                              <w:b/>
                              <w:smallCaps/>
                              <w:color w:val="000000" w:themeColor="text1"/>
                              <w:lang w:eastAsia="ja-JP"/>
                            </w:rPr>
                          </w:pPr>
                          <w:r w:rsidRPr="006F772E">
                            <w:rPr>
                              <w:rFonts w:ascii="Segoe UI" w:eastAsia="SimSun" w:hAnsi="Segoe UI" w:cs="Segoe UI"/>
                              <w:b/>
                              <w:smallCaps/>
                              <w:color w:val="000000" w:themeColor="text1"/>
                              <w:lang w:eastAsia="ja-JP"/>
                            </w:rPr>
                            <w:t xml:space="preserve">Service Économique de </w:t>
                          </w:r>
                          <w:r w:rsidR="009371FF">
                            <w:rPr>
                              <w:rFonts w:ascii="Segoe UI" w:eastAsia="SimSun" w:hAnsi="Segoe UI" w:cs="Segoe UI"/>
                              <w:b/>
                              <w:smallCaps/>
                              <w:color w:val="000000" w:themeColor="text1"/>
                              <w:lang w:eastAsia="ja-JP"/>
                            </w:rPr>
                            <w:t>Tel-Aviv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A6E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88.9pt;margin-top:11.3pt;width:240.1pt;height:22.9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" stroked="f">
              <v:textbox>
                <w:txbxContent>
                  <w:p w14:paraId="6C209D69" w14:textId="77777777" w:rsidR="006F772E" w:rsidRPr="006F772E" w:rsidRDefault="006F772E" w:rsidP="009371FF">
                    <w:pPr>
                      <w:tabs>
                        <w:tab w:val="left" w:pos="3969"/>
                      </w:tabs>
                      <w:spacing w:after="120" w:line="240" w:lineRule="auto"/>
                      <w:jc w:val="center"/>
                      <w:rPr>
                        <w:rFonts w:ascii="Segoe UI" w:eastAsia="SimSun" w:hAnsi="Segoe UI" w:cs="Segoe UI"/>
                        <w:b/>
                        <w:smallCaps/>
                        <w:color w:val="000000" w:themeColor="text1"/>
                        <w:lang w:eastAsia="ja-JP"/>
                      </w:rPr>
                    </w:pPr>
                    <w:r w:rsidRPr="006F772E">
                      <w:rPr>
                        <w:rFonts w:ascii="Segoe UI" w:eastAsia="SimSun" w:hAnsi="Segoe UI" w:cs="Segoe UI"/>
                        <w:b/>
                        <w:smallCaps/>
                        <w:color w:val="000000" w:themeColor="text1"/>
                        <w:lang w:eastAsia="ja-JP"/>
                      </w:rPr>
                      <w:t xml:space="preserve">Service Économique de </w:t>
                    </w:r>
                    <w:r w:rsidR="009371FF">
                      <w:rPr>
                        <w:rFonts w:ascii="Segoe UI" w:eastAsia="SimSun" w:hAnsi="Segoe UI" w:cs="Segoe UI"/>
                        <w:b/>
                        <w:smallCaps/>
                        <w:color w:val="000000" w:themeColor="text1"/>
                        <w:lang w:eastAsia="ja-JP"/>
                      </w:rPr>
                      <w:t>Tel-Aviv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67A"/>
    <w:multiLevelType w:val="hybridMultilevel"/>
    <w:tmpl w:val="78F24274"/>
    <w:lvl w:ilvl="0" w:tplc="65D87EEA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6626"/>
    <w:multiLevelType w:val="hybridMultilevel"/>
    <w:tmpl w:val="167E1E8A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1796"/>
    <w:multiLevelType w:val="hybridMultilevel"/>
    <w:tmpl w:val="4E8EED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0AE"/>
    <w:multiLevelType w:val="hybridMultilevel"/>
    <w:tmpl w:val="7E48EF44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3FC3"/>
    <w:multiLevelType w:val="multilevel"/>
    <w:tmpl w:val="D8FCCD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EC80330"/>
    <w:multiLevelType w:val="hybridMultilevel"/>
    <w:tmpl w:val="02E2D016"/>
    <w:lvl w:ilvl="0" w:tplc="7D9A04D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E1F3F"/>
    <w:multiLevelType w:val="hybridMultilevel"/>
    <w:tmpl w:val="4B209C54"/>
    <w:lvl w:ilvl="0" w:tplc="34701DEC">
      <w:start w:val="1"/>
      <w:numFmt w:val="decimal"/>
      <w:lvlText w:val="%1."/>
      <w:lvlJc w:val="left"/>
      <w:pPr>
        <w:ind w:left="3904" w:hanging="360"/>
      </w:pPr>
      <w:rPr>
        <w:rFonts w:ascii="Segoe UI" w:hAnsi="Segoe UI" w:cs="Segoe U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7275"/>
    <w:multiLevelType w:val="hybridMultilevel"/>
    <w:tmpl w:val="4EF8D602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E319A"/>
    <w:multiLevelType w:val="hybridMultilevel"/>
    <w:tmpl w:val="99583392"/>
    <w:lvl w:ilvl="0" w:tplc="991C71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898"/>
    <w:multiLevelType w:val="multilevel"/>
    <w:tmpl w:val="5970B2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4DD70436"/>
    <w:multiLevelType w:val="multilevel"/>
    <w:tmpl w:val="8F3C5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C131BB"/>
    <w:multiLevelType w:val="hybridMultilevel"/>
    <w:tmpl w:val="D37CC9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41F7"/>
    <w:multiLevelType w:val="multilevel"/>
    <w:tmpl w:val="60389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1F79ED"/>
    <w:multiLevelType w:val="hybridMultilevel"/>
    <w:tmpl w:val="9D96E9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8C32A0"/>
    <w:multiLevelType w:val="hybridMultilevel"/>
    <w:tmpl w:val="B2700430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D62DD"/>
    <w:multiLevelType w:val="multilevel"/>
    <w:tmpl w:val="1F36D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864DC5"/>
    <w:multiLevelType w:val="multilevel"/>
    <w:tmpl w:val="BBBE0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4"/>
  </w:num>
  <w:num w:numId="12">
    <w:abstractNumId w:val="6"/>
  </w:num>
  <w:num w:numId="13">
    <w:abstractNumId w:val="15"/>
  </w:num>
  <w:num w:numId="14">
    <w:abstractNumId w:val="11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8D"/>
    <w:rsid w:val="00003B44"/>
    <w:rsid w:val="000565BB"/>
    <w:rsid w:val="00072826"/>
    <w:rsid w:val="000751FA"/>
    <w:rsid w:val="000804EF"/>
    <w:rsid w:val="00091B4F"/>
    <w:rsid w:val="00093664"/>
    <w:rsid w:val="000949E7"/>
    <w:rsid w:val="000A640E"/>
    <w:rsid w:val="000C170B"/>
    <w:rsid w:val="000C3B70"/>
    <w:rsid w:val="000E5DF2"/>
    <w:rsid w:val="000F3D8D"/>
    <w:rsid w:val="00126A87"/>
    <w:rsid w:val="00150E49"/>
    <w:rsid w:val="0015590C"/>
    <w:rsid w:val="001A256C"/>
    <w:rsid w:val="001B0981"/>
    <w:rsid w:val="001B3ACC"/>
    <w:rsid w:val="001C2A42"/>
    <w:rsid w:val="001D6702"/>
    <w:rsid w:val="001E3905"/>
    <w:rsid w:val="001E4D59"/>
    <w:rsid w:val="001E5C86"/>
    <w:rsid w:val="001F4D17"/>
    <w:rsid w:val="00225C62"/>
    <w:rsid w:val="00236F57"/>
    <w:rsid w:val="00236FBD"/>
    <w:rsid w:val="00240BE7"/>
    <w:rsid w:val="002735C7"/>
    <w:rsid w:val="00282FD1"/>
    <w:rsid w:val="00285E68"/>
    <w:rsid w:val="002A59DF"/>
    <w:rsid w:val="002C1891"/>
    <w:rsid w:val="002C3E92"/>
    <w:rsid w:val="002D338F"/>
    <w:rsid w:val="002E7584"/>
    <w:rsid w:val="003216E7"/>
    <w:rsid w:val="003461B8"/>
    <w:rsid w:val="00353DA6"/>
    <w:rsid w:val="00364EC6"/>
    <w:rsid w:val="003720E7"/>
    <w:rsid w:val="003728C0"/>
    <w:rsid w:val="00382580"/>
    <w:rsid w:val="00396C49"/>
    <w:rsid w:val="003A02FA"/>
    <w:rsid w:val="003B4AD5"/>
    <w:rsid w:val="003B6811"/>
    <w:rsid w:val="003E03EF"/>
    <w:rsid w:val="003F02ED"/>
    <w:rsid w:val="00400DBB"/>
    <w:rsid w:val="004266BC"/>
    <w:rsid w:val="00427E62"/>
    <w:rsid w:val="004432FE"/>
    <w:rsid w:val="00444E0C"/>
    <w:rsid w:val="00451988"/>
    <w:rsid w:val="00451F81"/>
    <w:rsid w:val="00463EE8"/>
    <w:rsid w:val="0047087B"/>
    <w:rsid w:val="00480A6F"/>
    <w:rsid w:val="004B724B"/>
    <w:rsid w:val="004C36A6"/>
    <w:rsid w:val="004D56FE"/>
    <w:rsid w:val="004E6DD5"/>
    <w:rsid w:val="004E7D3F"/>
    <w:rsid w:val="004F0159"/>
    <w:rsid w:val="004F6F24"/>
    <w:rsid w:val="00502712"/>
    <w:rsid w:val="00503791"/>
    <w:rsid w:val="00505E9E"/>
    <w:rsid w:val="00520AC2"/>
    <w:rsid w:val="005309EA"/>
    <w:rsid w:val="005442C8"/>
    <w:rsid w:val="00552D18"/>
    <w:rsid w:val="0055713C"/>
    <w:rsid w:val="00573DEE"/>
    <w:rsid w:val="005B6FC9"/>
    <w:rsid w:val="005E04CC"/>
    <w:rsid w:val="005E0C96"/>
    <w:rsid w:val="005E1E9B"/>
    <w:rsid w:val="005E442E"/>
    <w:rsid w:val="0060337E"/>
    <w:rsid w:val="00611EF2"/>
    <w:rsid w:val="006142BE"/>
    <w:rsid w:val="00615A13"/>
    <w:rsid w:val="006330E9"/>
    <w:rsid w:val="00660BF4"/>
    <w:rsid w:val="00672F98"/>
    <w:rsid w:val="00697C83"/>
    <w:rsid w:val="006A6814"/>
    <w:rsid w:val="006C066C"/>
    <w:rsid w:val="006C45F5"/>
    <w:rsid w:val="006C4D0E"/>
    <w:rsid w:val="006F099A"/>
    <w:rsid w:val="006F1581"/>
    <w:rsid w:val="006F772E"/>
    <w:rsid w:val="00715388"/>
    <w:rsid w:val="00723913"/>
    <w:rsid w:val="00771234"/>
    <w:rsid w:val="007765A7"/>
    <w:rsid w:val="00777EB4"/>
    <w:rsid w:val="0078421C"/>
    <w:rsid w:val="00792A29"/>
    <w:rsid w:val="007970E6"/>
    <w:rsid w:val="007D332E"/>
    <w:rsid w:val="007E0350"/>
    <w:rsid w:val="007E6B29"/>
    <w:rsid w:val="007F0111"/>
    <w:rsid w:val="0081603E"/>
    <w:rsid w:val="008358A6"/>
    <w:rsid w:val="0084542E"/>
    <w:rsid w:val="00846F07"/>
    <w:rsid w:val="00847AD6"/>
    <w:rsid w:val="0086414C"/>
    <w:rsid w:val="00893BE7"/>
    <w:rsid w:val="008A1CE9"/>
    <w:rsid w:val="008C18EC"/>
    <w:rsid w:val="008E7471"/>
    <w:rsid w:val="008F13AF"/>
    <w:rsid w:val="008F18AE"/>
    <w:rsid w:val="00903069"/>
    <w:rsid w:val="00904EBC"/>
    <w:rsid w:val="009102F6"/>
    <w:rsid w:val="009212BE"/>
    <w:rsid w:val="00922154"/>
    <w:rsid w:val="0092583D"/>
    <w:rsid w:val="009264C7"/>
    <w:rsid w:val="00931F5A"/>
    <w:rsid w:val="00934073"/>
    <w:rsid w:val="009371FF"/>
    <w:rsid w:val="009407B2"/>
    <w:rsid w:val="0096054F"/>
    <w:rsid w:val="009608A8"/>
    <w:rsid w:val="00983296"/>
    <w:rsid w:val="00993567"/>
    <w:rsid w:val="00993E6B"/>
    <w:rsid w:val="00994C2A"/>
    <w:rsid w:val="009A3F1F"/>
    <w:rsid w:val="009B1832"/>
    <w:rsid w:val="009D3220"/>
    <w:rsid w:val="009E7380"/>
    <w:rsid w:val="00A037CF"/>
    <w:rsid w:val="00A13FEA"/>
    <w:rsid w:val="00A20B53"/>
    <w:rsid w:val="00A26006"/>
    <w:rsid w:val="00A272D3"/>
    <w:rsid w:val="00A30C33"/>
    <w:rsid w:val="00A345C8"/>
    <w:rsid w:val="00A96423"/>
    <w:rsid w:val="00A97E92"/>
    <w:rsid w:val="00AA0053"/>
    <w:rsid w:val="00AB3528"/>
    <w:rsid w:val="00AB4353"/>
    <w:rsid w:val="00AE0E3D"/>
    <w:rsid w:val="00AE0E68"/>
    <w:rsid w:val="00AE4DD2"/>
    <w:rsid w:val="00AE6726"/>
    <w:rsid w:val="00B24A2F"/>
    <w:rsid w:val="00B25B40"/>
    <w:rsid w:val="00B4334F"/>
    <w:rsid w:val="00B44A4E"/>
    <w:rsid w:val="00B54656"/>
    <w:rsid w:val="00B6781E"/>
    <w:rsid w:val="00B9589F"/>
    <w:rsid w:val="00BA5B47"/>
    <w:rsid w:val="00BC543B"/>
    <w:rsid w:val="00BC5FC2"/>
    <w:rsid w:val="00BF361E"/>
    <w:rsid w:val="00C22392"/>
    <w:rsid w:val="00C2407E"/>
    <w:rsid w:val="00C258C9"/>
    <w:rsid w:val="00C41543"/>
    <w:rsid w:val="00C54696"/>
    <w:rsid w:val="00C6223E"/>
    <w:rsid w:val="00C81868"/>
    <w:rsid w:val="00C82C5D"/>
    <w:rsid w:val="00CA3522"/>
    <w:rsid w:val="00CC6452"/>
    <w:rsid w:val="00CD3ADF"/>
    <w:rsid w:val="00CD7811"/>
    <w:rsid w:val="00CE6611"/>
    <w:rsid w:val="00CF4126"/>
    <w:rsid w:val="00CF42E9"/>
    <w:rsid w:val="00D2209E"/>
    <w:rsid w:val="00D27652"/>
    <w:rsid w:val="00D32A82"/>
    <w:rsid w:val="00D72C62"/>
    <w:rsid w:val="00D84494"/>
    <w:rsid w:val="00D937DC"/>
    <w:rsid w:val="00D94F85"/>
    <w:rsid w:val="00D9771C"/>
    <w:rsid w:val="00DA2A07"/>
    <w:rsid w:val="00DA4B95"/>
    <w:rsid w:val="00DB1475"/>
    <w:rsid w:val="00DD1D6D"/>
    <w:rsid w:val="00DF4C3B"/>
    <w:rsid w:val="00E02BC3"/>
    <w:rsid w:val="00E0410E"/>
    <w:rsid w:val="00E0550D"/>
    <w:rsid w:val="00E11D7B"/>
    <w:rsid w:val="00E17131"/>
    <w:rsid w:val="00E2441D"/>
    <w:rsid w:val="00E269DE"/>
    <w:rsid w:val="00E44D32"/>
    <w:rsid w:val="00E57266"/>
    <w:rsid w:val="00E57B84"/>
    <w:rsid w:val="00E62589"/>
    <w:rsid w:val="00E714D8"/>
    <w:rsid w:val="00E7604C"/>
    <w:rsid w:val="00EA65D4"/>
    <w:rsid w:val="00ED108C"/>
    <w:rsid w:val="00EF3D2D"/>
    <w:rsid w:val="00F03444"/>
    <w:rsid w:val="00F04A45"/>
    <w:rsid w:val="00F06100"/>
    <w:rsid w:val="00F0677E"/>
    <w:rsid w:val="00F23E78"/>
    <w:rsid w:val="00F26F6D"/>
    <w:rsid w:val="00F36798"/>
    <w:rsid w:val="00F6602C"/>
    <w:rsid w:val="00F7251B"/>
    <w:rsid w:val="00F90924"/>
    <w:rsid w:val="00FA199C"/>
    <w:rsid w:val="00FA2FDB"/>
    <w:rsid w:val="00FB2DF8"/>
    <w:rsid w:val="00FB374D"/>
    <w:rsid w:val="00FB5F25"/>
    <w:rsid w:val="00FB7DCE"/>
    <w:rsid w:val="00FC3090"/>
    <w:rsid w:val="00FC63B7"/>
    <w:rsid w:val="00FC7D79"/>
    <w:rsid w:val="00FD0B20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9BDE1"/>
  <w15:chartTrackingRefBased/>
  <w15:docId w15:val="{A0D815E1-56B4-4E27-9E4F-A33F729E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4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2FE"/>
  </w:style>
  <w:style w:type="paragraph" w:styleId="Pieddepage">
    <w:name w:val="footer"/>
    <w:basedOn w:val="Normal"/>
    <w:link w:val="PieddepageCar"/>
    <w:uiPriority w:val="99"/>
    <w:unhideWhenUsed/>
    <w:rsid w:val="0044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2FE"/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"/>
    <w:basedOn w:val="Normal"/>
    <w:link w:val="ParagraphedelisteCar"/>
    <w:uiPriority w:val="34"/>
    <w:qFormat/>
    <w:rsid w:val="004432FE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4432FE"/>
  </w:style>
  <w:style w:type="paragraph" w:customStyle="1" w:styleId="Briefinglist1">
    <w:name w:val="Briefing list 1"/>
    <w:basedOn w:val="Normal"/>
    <w:rsid w:val="004432FE"/>
    <w:pPr>
      <w:keepLines/>
      <w:numPr>
        <w:numId w:val="1"/>
      </w:numPr>
      <w:spacing w:after="120" w:line="240" w:lineRule="auto"/>
      <w:jc w:val="both"/>
    </w:pPr>
    <w:rPr>
      <w:rFonts w:ascii="Arial" w:eastAsia="SimSun" w:hAnsi="Arial" w:cs="Arial"/>
      <w:szCs w:val="24"/>
      <w:lang w:val="en-GB"/>
    </w:rPr>
  </w:style>
  <w:style w:type="paragraph" w:styleId="Textedebulles">
    <w:name w:val="Balloon Text"/>
    <w:basedOn w:val="Normal"/>
    <w:link w:val="TextedebullesCar"/>
    <w:semiHidden/>
    <w:rsid w:val="004432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4432F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ffaire-suiviepar">
    <w:name w:val="affaire-suivie par"/>
    <w:basedOn w:val="Policepardfaut"/>
    <w:uiPriority w:val="1"/>
    <w:rsid w:val="004432FE"/>
    <w:rPr>
      <w:rFonts w:ascii="Times New Roman" w:hAnsi="Times New Roman"/>
      <w:sz w:val="18"/>
    </w:rPr>
  </w:style>
  <w:style w:type="paragraph" w:styleId="Sansinterligne">
    <w:name w:val="No Spacing"/>
    <w:uiPriority w:val="1"/>
    <w:qFormat/>
    <w:rsid w:val="004432F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A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1D6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B70"/>
    <w:pPr>
      <w:spacing w:after="6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3B70"/>
    <w:rPr>
      <w:rFonts w:ascii="Times New Roman" w:eastAsia="Calibri" w:hAnsi="Times New Roman" w:cs="Times New Roman"/>
      <w:sz w:val="20"/>
      <w:szCs w:val="20"/>
    </w:rPr>
  </w:style>
  <w:style w:type="character" w:styleId="Appelnotedebasdep">
    <w:name w:val="footnote reference"/>
    <w:uiPriority w:val="99"/>
    <w:unhideWhenUsed/>
    <w:rsid w:val="000C3B70"/>
    <w:rPr>
      <w:rFonts w:ascii="Times New Roman" w:hAnsi="Times New Roman"/>
      <w:sz w:val="18"/>
      <w:vertAlign w:val="superscript"/>
    </w:rPr>
  </w:style>
  <w:style w:type="paragraph" w:styleId="NormalWeb">
    <w:name w:val="Normal (Web)"/>
    <w:basedOn w:val="Normal"/>
    <w:uiPriority w:val="99"/>
    <w:unhideWhenUsed/>
    <w:rsid w:val="00DA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41543"/>
    <w:rPr>
      <w:color w:val="808080"/>
    </w:rPr>
  </w:style>
  <w:style w:type="character" w:customStyle="1" w:styleId="Style1">
    <w:name w:val="Style1"/>
    <w:basedOn w:val="Titredulivre"/>
    <w:uiPriority w:val="1"/>
    <w:rsid w:val="00672F98"/>
    <w:rPr>
      <w:rFonts w:ascii="Segoe UI" w:hAnsi="Segoe UI"/>
      <w:b/>
      <w:bCs/>
      <w:i/>
      <w:iCs/>
      <w:caps w:val="0"/>
      <w:smallCaps/>
      <w:strike w:val="0"/>
      <w:dstrike w:val="0"/>
      <w:vanish w:val="0"/>
      <w:color w:val="006CE5"/>
      <w:spacing w:val="5"/>
      <w:sz w:val="32"/>
      <w:vertAlign w:val="baseline"/>
    </w:rPr>
  </w:style>
  <w:style w:type="character" w:styleId="Titredulivre">
    <w:name w:val="Book Title"/>
    <w:basedOn w:val="Policepardfaut"/>
    <w:uiPriority w:val="33"/>
    <w:qFormat/>
    <w:rsid w:val="00672F98"/>
    <w:rPr>
      <w:b/>
      <w:bCs/>
      <w:i/>
      <w:iCs/>
      <w:spacing w:val="5"/>
    </w:rPr>
  </w:style>
  <w:style w:type="character" w:customStyle="1" w:styleId="TitrenoteSER">
    <w:name w:val="Titre note SER"/>
    <w:basedOn w:val="Policepardfaut"/>
    <w:uiPriority w:val="1"/>
    <w:rsid w:val="00C54696"/>
    <w:rPr>
      <w:rFonts w:ascii="Segoe UI" w:hAnsi="Segoe UI"/>
      <w:b/>
      <w:color w:val="0070C0"/>
      <w:sz w:val="32"/>
    </w:rPr>
  </w:style>
  <w:style w:type="character" w:customStyle="1" w:styleId="TITRENOTRESER">
    <w:name w:val="TITRE NOTRE SER"/>
    <w:basedOn w:val="Policepardfaut"/>
    <w:uiPriority w:val="1"/>
    <w:rsid w:val="00C54696"/>
    <w:rPr>
      <w:rFonts w:ascii="Segoe UI" w:hAnsi="Segoe UI"/>
      <w:b/>
      <w:color w:val="006CE5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A02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02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02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5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5C7"/>
    <w:rPr>
      <w:b/>
      <w:bCs/>
      <w:sz w:val="20"/>
      <w:szCs w:val="20"/>
    </w:rPr>
  </w:style>
  <w:style w:type="character" w:customStyle="1" w:styleId="RsumnoteSER">
    <w:name w:val="Résumé note SER"/>
    <w:basedOn w:val="Policepardfaut"/>
    <w:uiPriority w:val="1"/>
    <w:rsid w:val="005E442E"/>
    <w:rPr>
      <w:rFonts w:ascii="Segoe UI" w:hAnsi="Segoe UI"/>
      <w:color w:val="006CE5"/>
      <w:sz w:val="20"/>
    </w:rPr>
  </w:style>
  <w:style w:type="character" w:customStyle="1" w:styleId="paragraphenoteSER">
    <w:name w:val="paragraphe note SER"/>
    <w:basedOn w:val="Policepardfaut"/>
    <w:uiPriority w:val="1"/>
    <w:rsid w:val="006C45F5"/>
    <w:rPr>
      <w:rFonts w:ascii="Segoe UI" w:hAnsi="Segoe UI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0F3D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461B8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E7D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legris\Documents\Mod&#232;le%20note%20SE%20TEL%20AVIV%20-%2009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87CBFD2944909A9826108CFFC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62E9B-C1EA-4B80-BD8C-EB052C91A919}"/>
      </w:docPartPr>
      <w:docPartBody>
        <w:p w:rsidR="00922347" w:rsidRDefault="00E833AC">
          <w:pPr>
            <w:pStyle w:val="855187CBFD2944909A9826108CFFC2B9"/>
          </w:pPr>
          <w:r w:rsidRPr="00994C2A">
            <w:rPr>
              <w:rStyle w:val="Textedelespacerserv"/>
              <w:rFonts w:ascii="Segoe UI" w:hAnsi="Segoe UI" w:cs="Segoe UI"/>
              <w:sz w:val="20"/>
            </w:rPr>
            <w:t>entrer une date</w:t>
          </w:r>
          <w:r w:rsidRPr="008E7471">
            <w:rPr>
              <w:rStyle w:val="Textedelespacerserv"/>
              <w:rFonts w:ascii="Segoe UI" w:hAnsi="Segoe UI" w:cs="Segoe UI"/>
            </w:rPr>
            <w:t>.</w:t>
          </w:r>
        </w:p>
      </w:docPartBody>
    </w:docPart>
    <w:docPart>
      <w:docPartPr>
        <w:name w:val="932942468515487A9616D9A195DE4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2FC51-A21E-4E85-8D1B-07721C2D66A4}"/>
      </w:docPartPr>
      <w:docPartBody>
        <w:p w:rsidR="00922347" w:rsidRDefault="00E833AC">
          <w:pPr>
            <w:pStyle w:val="932942468515487A9616D9A195DE4CDC"/>
          </w:pPr>
          <w:r w:rsidRPr="00994C2A">
            <w:rPr>
              <w:rStyle w:val="Textedelespacerserv"/>
              <w:rFonts w:ascii="Segoe UI" w:hAnsi="Segoe UI" w:cs="Segoe UI"/>
              <w:sz w:val="20"/>
            </w:rPr>
            <w:t>entrer numéro</w:t>
          </w:r>
          <w:r w:rsidRPr="000B0C57">
            <w:rPr>
              <w:rStyle w:val="Textedelespacerserv"/>
            </w:rPr>
            <w:t>.</w:t>
          </w:r>
        </w:p>
      </w:docPartBody>
    </w:docPart>
    <w:docPart>
      <w:docPartPr>
        <w:name w:val="BC43BA00C6A44DDB87A9FECEEF3F2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17302-C6FC-478C-BA0A-73DD8AFDA9AA}"/>
      </w:docPartPr>
      <w:docPartBody>
        <w:p w:rsidR="00922347" w:rsidRDefault="00E833AC">
          <w:pPr>
            <w:pStyle w:val="BC43BA00C6A44DDB87A9FECEEF3F2E09"/>
          </w:pPr>
          <w:r w:rsidRPr="001A256C">
            <w:rPr>
              <w:rStyle w:val="Textedelespacerserv"/>
              <w:rFonts w:ascii="Segoe UI" w:hAnsi="Segoe UI" w:cs="Segoe UI"/>
              <w:sz w:val="20"/>
              <w:szCs w:val="20"/>
            </w:rPr>
            <w:t>Choisir l’agent</w:t>
          </w:r>
          <w:r w:rsidRPr="006E6EF2">
            <w:rPr>
              <w:rStyle w:val="Textedelespacerserv"/>
            </w:rPr>
            <w:t>.</w:t>
          </w:r>
        </w:p>
      </w:docPartBody>
    </w:docPart>
    <w:docPart>
      <w:docPartPr>
        <w:name w:val="E3001978650C41D695867483F033E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C7D3B-8955-48A4-8754-0F65166E9AA5}"/>
      </w:docPartPr>
      <w:docPartBody>
        <w:p w:rsidR="00922347" w:rsidRDefault="00E833AC">
          <w:pPr>
            <w:pStyle w:val="E3001978650C41D695867483F033E9DB"/>
          </w:pPr>
          <w:r w:rsidRPr="00FD0B20">
            <w:rPr>
              <w:rStyle w:val="Textedelespacerserv"/>
              <w:rFonts w:ascii="Segoe UI" w:hAnsi="Segoe UI" w:cs="Segoe UI"/>
              <w:sz w:val="28"/>
              <w:szCs w:val="32"/>
            </w:rPr>
            <w:t>Saisir le titre de la note</w:t>
          </w:r>
          <w:r w:rsidRPr="00FD0B20">
            <w:rPr>
              <w:rStyle w:val="Textedelespacerserv"/>
              <w:rFonts w:cs="Segoe UI"/>
              <w:sz w:val="20"/>
            </w:rPr>
            <w:t>.</w:t>
          </w:r>
        </w:p>
      </w:docPartBody>
    </w:docPart>
    <w:docPart>
      <w:docPartPr>
        <w:name w:val="05E1B47A6B834CAA9ED816B37663F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5C4B8-6591-49E5-BEDF-724D8B9772B0}"/>
      </w:docPartPr>
      <w:docPartBody>
        <w:p w:rsidR="00922347" w:rsidRDefault="00E833AC">
          <w:pPr>
            <w:pStyle w:val="05E1B47A6B834CAA9ED816B37663F51F"/>
          </w:pPr>
          <w:r w:rsidRPr="00FD0B20">
            <w:rPr>
              <w:rStyle w:val="Textedelespacerserv"/>
              <w:rFonts w:ascii="Segoe UI" w:hAnsi="Segoe UI" w:cs="Segoe UI"/>
              <w:sz w:val="20"/>
              <w:szCs w:val="20"/>
            </w:rPr>
            <w:t>Cliquez ici pour saisir le résumé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B91DE2E1E5ED4E629C7E6E232C905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8B3A5-0760-4EAC-BEA3-AF6D700A18F1}"/>
      </w:docPartPr>
      <w:docPartBody>
        <w:p w:rsidR="00922347" w:rsidRDefault="00E833AC">
          <w:pPr>
            <w:pStyle w:val="B91DE2E1E5ED4E629C7E6E232C90536F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89EA2175B5D54B88A716A23B93277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1D20C-44FC-4D77-9E2F-4A3C7285D74A}"/>
      </w:docPartPr>
      <w:docPartBody>
        <w:p w:rsidR="00922347" w:rsidRDefault="00E833AC">
          <w:pPr>
            <w:pStyle w:val="89EA2175B5D54B88A716A23B9327714E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343A679DC38341538289ED53E0930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CA4F7-7029-463D-ACC9-3FC594456D0D}"/>
      </w:docPartPr>
      <w:docPartBody>
        <w:p w:rsidR="00922347" w:rsidRDefault="00E833AC">
          <w:pPr>
            <w:pStyle w:val="343A679DC38341538289ED53E0930FFE"/>
          </w:pPr>
          <w:r>
            <w:rPr>
              <w:rStyle w:val="Textedelespacerserv"/>
              <w:rFonts w:ascii="Segoe UI" w:hAnsi="Segoe UI" w:cs="Segoe UI"/>
              <w:color w:val="FFFFFF" w:themeColor="background1"/>
              <w:sz w:val="20"/>
              <w:szCs w:val="20"/>
            </w:rPr>
            <w:t>Saisir le Titre du paragraphe</w:t>
          </w:r>
          <w:r w:rsidRPr="00C81868">
            <w:rPr>
              <w:rStyle w:val="Textedelespacerserv"/>
              <w:rFonts w:ascii="Segoe UI" w:hAnsi="Segoe UI" w:cs="Segoe UI"/>
              <w:color w:val="FFFFFF" w:themeColor="background1"/>
              <w:sz w:val="20"/>
              <w:szCs w:val="20"/>
            </w:rPr>
            <w:t>.</w:t>
          </w:r>
        </w:p>
      </w:docPartBody>
    </w:docPart>
    <w:docPart>
      <w:docPartPr>
        <w:name w:val="5E41E6FB94C44934977B57AB76FA8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9E15F-A309-4EE2-8595-8FEBB4E50AFF}"/>
      </w:docPartPr>
      <w:docPartBody>
        <w:p w:rsidR="00922347" w:rsidRDefault="00E54D80" w:rsidP="00E54D80">
          <w:pPr>
            <w:pStyle w:val="5E41E6FB94C44934977B57AB76FA8E95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5E878D37CD8B41699363A4134B312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12FFE-3244-4FA1-A1AF-A38341EFFCDE}"/>
      </w:docPartPr>
      <w:docPartBody>
        <w:p w:rsidR="00922347" w:rsidRDefault="00E54D80" w:rsidP="00E54D80">
          <w:pPr>
            <w:pStyle w:val="5E878D37CD8B41699363A4134B312B7B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EA21866BB5E342B4A4F73B4F602ED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AE0D6-C8B5-4799-9114-16103824C4B2}"/>
      </w:docPartPr>
      <w:docPartBody>
        <w:p w:rsidR="00FA0F70" w:rsidRDefault="00F2586E" w:rsidP="00F2586E">
          <w:pPr>
            <w:pStyle w:val="EA21866BB5E342B4A4F73B4F602ED26A"/>
          </w:pPr>
          <w:r w:rsidRPr="00FD0B20">
            <w:rPr>
              <w:rStyle w:val="Textedelespacerserv"/>
              <w:rFonts w:ascii="Segoe UI" w:hAnsi="Segoe UI" w:cs="Segoe UI"/>
              <w:sz w:val="20"/>
              <w:szCs w:val="20"/>
            </w:rPr>
            <w:t>Cliquez ici pour saisir le résumé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B3F55111D59F4588885D4B3B8A5BB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DBCEB-C9C6-46AF-B2E8-9A78782C551A}"/>
      </w:docPartPr>
      <w:docPartBody>
        <w:p w:rsidR="00FA0F70" w:rsidRDefault="00F2586E" w:rsidP="00F2586E">
          <w:pPr>
            <w:pStyle w:val="B3F55111D59F4588885D4B3B8A5BB8CF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332911A90A1E4C5B815A3999C218A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B1AFB-67CE-49EC-942E-C38697A82C7F}"/>
      </w:docPartPr>
      <w:docPartBody>
        <w:p w:rsidR="00FA0F70" w:rsidRDefault="00F2586E" w:rsidP="00F2586E">
          <w:pPr>
            <w:pStyle w:val="332911A90A1E4C5B815A3999C218A16F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1933C4BC82CF4709906349A4D0935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9A570-4455-4948-A25A-B137FAB7FEF4}"/>
      </w:docPartPr>
      <w:docPartBody>
        <w:p w:rsidR="00FA0F70" w:rsidRDefault="00F2586E" w:rsidP="00F2586E">
          <w:pPr>
            <w:pStyle w:val="1933C4BC82CF4709906349A4D0935AE0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  <w:docPart>
      <w:docPartPr>
        <w:name w:val="B7DA464187354DA680EC31FC1DA2D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1A353-894B-4B5F-B50E-56D1BB9825A2}"/>
      </w:docPartPr>
      <w:docPartBody>
        <w:p w:rsidR="00FA0F70" w:rsidRDefault="00F2586E" w:rsidP="00F2586E">
          <w:pPr>
            <w:pStyle w:val="B7DA464187354DA680EC31FC1DA2D644"/>
          </w:pPr>
          <w:r>
            <w:rPr>
              <w:rStyle w:val="Textedelespacerserv"/>
            </w:rPr>
            <w:t>Saisir le texte du paragraphe</w:t>
          </w:r>
          <w:r w:rsidRPr="00091B49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80"/>
    <w:rsid w:val="00497E9E"/>
    <w:rsid w:val="0056673A"/>
    <w:rsid w:val="005E2BB0"/>
    <w:rsid w:val="005F5EE9"/>
    <w:rsid w:val="0077011D"/>
    <w:rsid w:val="007B0BD8"/>
    <w:rsid w:val="00922347"/>
    <w:rsid w:val="009802F8"/>
    <w:rsid w:val="00A17B32"/>
    <w:rsid w:val="00B53E0C"/>
    <w:rsid w:val="00B846C4"/>
    <w:rsid w:val="00BC58BC"/>
    <w:rsid w:val="00C271EC"/>
    <w:rsid w:val="00C44BD8"/>
    <w:rsid w:val="00E54D80"/>
    <w:rsid w:val="00E833AC"/>
    <w:rsid w:val="00E87770"/>
    <w:rsid w:val="00F2586E"/>
    <w:rsid w:val="00FA0F70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586E"/>
    <w:rPr>
      <w:color w:val="808080"/>
    </w:rPr>
  </w:style>
  <w:style w:type="paragraph" w:customStyle="1" w:styleId="855187CBFD2944909A9826108CFFC2B9">
    <w:name w:val="855187CBFD2944909A9826108CFFC2B9"/>
  </w:style>
  <w:style w:type="paragraph" w:customStyle="1" w:styleId="932942468515487A9616D9A195DE4CDC">
    <w:name w:val="932942468515487A9616D9A195DE4CDC"/>
  </w:style>
  <w:style w:type="paragraph" w:customStyle="1" w:styleId="BC43BA00C6A44DDB87A9FECEEF3F2E09">
    <w:name w:val="BC43BA00C6A44DDB87A9FECEEF3F2E09"/>
  </w:style>
  <w:style w:type="paragraph" w:customStyle="1" w:styleId="E3001978650C41D695867483F033E9DB">
    <w:name w:val="E3001978650C41D695867483F033E9DB"/>
  </w:style>
  <w:style w:type="paragraph" w:customStyle="1" w:styleId="05E1B47A6B834CAA9ED816B37663F51F">
    <w:name w:val="05E1B47A6B834CAA9ED816B37663F51F"/>
  </w:style>
  <w:style w:type="paragraph" w:customStyle="1" w:styleId="B91DE2E1E5ED4E629C7E6E232C90536F">
    <w:name w:val="B91DE2E1E5ED4E629C7E6E232C90536F"/>
  </w:style>
  <w:style w:type="paragraph" w:customStyle="1" w:styleId="89EA2175B5D54B88A716A23B9327714E">
    <w:name w:val="89EA2175B5D54B88A716A23B9327714E"/>
  </w:style>
  <w:style w:type="paragraph" w:customStyle="1" w:styleId="343A679DC38341538289ED53E0930FFE">
    <w:name w:val="343A679DC38341538289ED53E0930FFE"/>
  </w:style>
  <w:style w:type="paragraph" w:customStyle="1" w:styleId="5E41E6FB94C44934977B57AB76FA8E95">
    <w:name w:val="5E41E6FB94C44934977B57AB76FA8E95"/>
    <w:rsid w:val="00E54D80"/>
  </w:style>
  <w:style w:type="paragraph" w:customStyle="1" w:styleId="5E878D37CD8B41699363A4134B312B7B">
    <w:name w:val="5E878D37CD8B41699363A4134B312B7B"/>
    <w:rsid w:val="00E54D80"/>
  </w:style>
  <w:style w:type="paragraph" w:customStyle="1" w:styleId="EA21866BB5E342B4A4F73B4F602ED26A">
    <w:name w:val="EA21866BB5E342B4A4F73B4F602ED26A"/>
    <w:rsid w:val="00F2586E"/>
  </w:style>
  <w:style w:type="paragraph" w:customStyle="1" w:styleId="B3F55111D59F4588885D4B3B8A5BB8CF">
    <w:name w:val="B3F55111D59F4588885D4B3B8A5BB8CF"/>
    <w:rsid w:val="00F2586E"/>
  </w:style>
  <w:style w:type="paragraph" w:customStyle="1" w:styleId="332911A90A1E4C5B815A3999C218A16F">
    <w:name w:val="332911A90A1E4C5B815A3999C218A16F"/>
    <w:rsid w:val="00F2586E"/>
  </w:style>
  <w:style w:type="paragraph" w:customStyle="1" w:styleId="1933C4BC82CF4709906349A4D0935AE0">
    <w:name w:val="1933C4BC82CF4709906349A4D0935AE0"/>
    <w:rsid w:val="00F2586E"/>
  </w:style>
  <w:style w:type="paragraph" w:customStyle="1" w:styleId="B7DA464187354DA680EC31FC1DA2D644">
    <w:name w:val="B7DA464187354DA680EC31FC1DA2D644"/>
    <w:rsid w:val="00F25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4A0A0319658499C4DAED5A87C4E45" ma:contentTypeVersion="0" ma:contentTypeDescription="Crée un document." ma:contentTypeScope="" ma:versionID="6168dfed8a1ce2266e77f354d5d7d9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b941d2d5477821b12ae7385ae973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A957B-BABB-409C-B25B-97E61FAF3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E5945-1B3A-462C-AD67-3625F7348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DD399-103A-4A35-82F5-678769D1B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87AB02-2D51-44B7-B8A1-B68A46385F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SE TEL AVIV - 09-2021.dotx</Template>
  <TotalTime>6</TotalTime>
  <Pages>3</Pages>
  <Words>1256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LEGRIS Edouard</dc:creator>
  <cp:keywords/>
  <dc:description/>
  <cp:lastModifiedBy>SAYETTAT Eric</cp:lastModifiedBy>
  <cp:revision>2</cp:revision>
  <cp:lastPrinted>2019-09-12T06:35:00Z</cp:lastPrinted>
  <dcterms:created xsi:type="dcterms:W3CDTF">2022-12-07T14:38:00Z</dcterms:created>
  <dcterms:modified xsi:type="dcterms:W3CDTF">2022-12-07T14:38:00Z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0x0101005CD4A0A0319658499C4DAED5A87C4E45</vt:lpwstr>
  </property>
</Properties>
</file>