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295D55" w14:textId="070B62FC" w:rsidR="008D58D1" w:rsidRPr="0079420B" w:rsidRDefault="004E68D5" w:rsidP="00AA4181">
      <w:pPr>
        <w:pStyle w:val="Titre"/>
        <w:spacing w:after="120"/>
        <w:contextualSpacing w:val="0"/>
        <w:rPr>
          <w:rFonts w:cs="Arial"/>
          <w:sz w:val="32"/>
          <w:szCs w:val="20"/>
        </w:rPr>
      </w:pPr>
      <w:r w:rsidRPr="0079420B">
        <w:rPr>
          <w:rFonts w:cs="Arial"/>
          <w:bCs/>
          <w:sz w:val="32"/>
          <w:szCs w:val="20"/>
        </w:rPr>
        <w:t>Le secteur du tourisme en Tunisie</w:t>
      </w:r>
      <w:bookmarkStart w:id="0" w:name="anActuHead"/>
      <w:bookmarkEnd w:id="0"/>
    </w:p>
    <w:p w14:paraId="6CACDB41" w14:textId="7DC109CC" w:rsidR="004E68D5" w:rsidRPr="0079420B" w:rsidRDefault="0079420B" w:rsidP="00D31546">
      <w:pPr>
        <w:pStyle w:val="Sansinterligne"/>
        <w:spacing w:after="120"/>
        <w:jc w:val="both"/>
        <w:rPr>
          <w:rFonts w:ascii="Arial" w:hAnsi="Arial" w:cs="Arial"/>
          <w:i/>
          <w:sz w:val="20"/>
          <w:szCs w:val="20"/>
        </w:rPr>
      </w:pPr>
      <w:r w:rsidRPr="0079420B">
        <w:rPr>
          <w:rFonts w:ascii="Arial" w:hAnsi="Arial" w:cs="Arial"/>
          <w:i/>
          <w:sz w:val="20"/>
          <w:szCs w:val="20"/>
        </w:rPr>
        <w:t>En 2017, on a observé une nette reprise de la fréquentation touristique en Tunisie (7 M de touristes, en augmentation de 23% par rapport à 2016), et notamment du tourisme européen, porté par les marchés français, allemand et belge. La France est de nouveau le premier pourvoyeur de touristes européens, et le troisième au niveau mondial, derrière l’Algérie et la Libye. Cette reprise est permise par l’amélioration du climat sécuritaire renforcée par la dévaluation du dinar qui affecte positivement la compétitivité de la destination. Plusieurs opérateurs internationaux ont annoncé leur retour ou leur volonté de renforcer leurs activités dans le pays, ce qui constitue un signal extrêmement positif pour la saison 2018. Cependant, le secteur reste sinistré, avec un besoin urgent de réformes et de diversification. Le gouvernement tunisien doit donc approfondir sa politique de restructuration, afin de procéder à une montée en gamme et retrouver un niveau de recettes en devise similaire à ceux observés avant la crise.</w:t>
      </w:r>
    </w:p>
    <w:p w14:paraId="332D24E8" w14:textId="16D9183D" w:rsidR="004E68D5" w:rsidRPr="0079420B" w:rsidRDefault="0079420B" w:rsidP="00AA4181">
      <w:pPr>
        <w:pStyle w:val="Paragraphedeliste"/>
        <w:numPr>
          <w:ilvl w:val="0"/>
          <w:numId w:val="20"/>
        </w:numPr>
        <w:spacing w:before="120" w:after="120" w:line="240" w:lineRule="auto"/>
        <w:ind w:left="714" w:hanging="357"/>
        <w:contextualSpacing w:val="0"/>
        <w:rPr>
          <w:rFonts w:eastAsiaTheme="majorEastAsia" w:cs="Arial"/>
          <w:b/>
          <w:bCs/>
          <w:iCs/>
          <w:color w:val="122255"/>
          <w:sz w:val="24"/>
          <w:szCs w:val="20"/>
        </w:rPr>
      </w:pPr>
      <w:r w:rsidRPr="0079420B">
        <w:rPr>
          <w:rFonts w:eastAsiaTheme="majorEastAsia" w:cs="Arial"/>
          <w:b/>
          <w:bCs/>
          <w:iCs/>
          <w:color w:val="122255"/>
          <w:sz w:val="24"/>
          <w:szCs w:val="20"/>
        </w:rPr>
        <w:t>La reprise des flux touristiques se confirme en 2017 grâce à une amélioration du climat sécuritaire</w:t>
      </w:r>
    </w:p>
    <w:p w14:paraId="4943C84D" w14:textId="77777777" w:rsidR="0079420B" w:rsidRPr="0079420B" w:rsidRDefault="0079420B" w:rsidP="00D31546">
      <w:pPr>
        <w:spacing w:after="120" w:line="240" w:lineRule="auto"/>
        <w:ind w:right="-77"/>
        <w:jc w:val="both"/>
        <w:rPr>
          <w:rFonts w:cs="Arial"/>
          <w:szCs w:val="20"/>
        </w:rPr>
      </w:pPr>
      <w:r w:rsidRPr="0079420B">
        <w:rPr>
          <w:rFonts w:cs="Arial"/>
          <w:b/>
          <w:szCs w:val="20"/>
        </w:rPr>
        <w:t>Le tourisme est un pilier de l’économie tunisienne, représentant avant la crise environ 7% du PIB et 13% à 14% des emplois (directs et indirects).</w:t>
      </w:r>
      <w:r w:rsidRPr="0079420B">
        <w:rPr>
          <w:rFonts w:cs="Arial"/>
          <w:szCs w:val="20"/>
        </w:rPr>
        <w:t xml:space="preserve"> Déjà fortement affecté par la révolution et l’instabilité politique à partir de 2011, le secteur du tourisme tunisien a été touché de plein fouet par les trois attentats intervenus en 2015. Alors que les performances du secteur en 2014 approchaient celles de 2010 (7,2 M de touristes, et 3,6 Mds TND de recettes – 1,6 Mds €), elles ont fortement chuté en 2015 : -25% de touristes et -35% de recettes. </w:t>
      </w:r>
      <w:r w:rsidRPr="0079420B">
        <w:rPr>
          <w:rFonts w:cs="Arial"/>
          <w:szCs w:val="20"/>
          <w:u w:val="single"/>
        </w:rPr>
        <w:t>Cette baisse enregistrée était principalement le fait d’une désaffection des touristes européens</w:t>
      </w:r>
      <w:r w:rsidRPr="0079420B">
        <w:rPr>
          <w:rFonts w:cs="Arial"/>
          <w:b/>
          <w:szCs w:val="20"/>
        </w:rPr>
        <w:t xml:space="preserve"> </w:t>
      </w:r>
      <w:r w:rsidRPr="0079420B">
        <w:rPr>
          <w:rFonts w:cs="Arial"/>
          <w:szCs w:val="20"/>
        </w:rPr>
        <w:t xml:space="preserve">qui se sont réorientés vers des destinations d’Europe du sud. </w:t>
      </w:r>
    </w:p>
    <w:p w14:paraId="48681BFF" w14:textId="77777777" w:rsidR="0079420B" w:rsidRPr="0079420B" w:rsidRDefault="0079420B">
      <w:pPr>
        <w:spacing w:after="120" w:line="240" w:lineRule="auto"/>
        <w:ind w:right="-77"/>
        <w:jc w:val="both"/>
        <w:rPr>
          <w:rFonts w:cs="Arial"/>
          <w:szCs w:val="20"/>
        </w:rPr>
      </w:pPr>
      <w:r w:rsidRPr="0079420B">
        <w:rPr>
          <w:rFonts w:cs="Arial"/>
          <w:b/>
          <w:szCs w:val="20"/>
        </w:rPr>
        <w:t>L’année 2016 a marqué la reprise relative du</w:t>
      </w:r>
      <w:bookmarkStart w:id="1" w:name="_GoBack"/>
      <w:bookmarkEnd w:id="1"/>
      <w:r w:rsidRPr="0079420B">
        <w:rPr>
          <w:rFonts w:cs="Arial"/>
          <w:b/>
          <w:szCs w:val="20"/>
        </w:rPr>
        <w:t xml:space="preserve"> secteur avec un double mouvement : une augmentation timide de la fréquentation (+7% d’arrivées aux frontières) mais des recettes qui ont continué à diminuer (-4%) </w:t>
      </w:r>
      <w:r w:rsidRPr="0079420B">
        <w:rPr>
          <w:rFonts w:cs="Arial"/>
          <w:szCs w:val="20"/>
        </w:rPr>
        <w:t xml:space="preserve">– ce qui indiquait une baisse de la dépense moyenne par touriste. </w:t>
      </w:r>
      <w:r w:rsidRPr="0079420B">
        <w:rPr>
          <w:rFonts w:cs="Arial"/>
          <w:szCs w:val="20"/>
          <w:u w:val="single"/>
        </w:rPr>
        <w:t>La reprise en termes de flux était principalement le fait des touristes algériens (+ 330 000) et russes (+ 570 000) à faible pouvoir d’achat</w:t>
      </w:r>
      <w:r w:rsidRPr="0079420B">
        <w:rPr>
          <w:rFonts w:cs="Arial"/>
          <w:szCs w:val="20"/>
        </w:rPr>
        <w:t xml:space="preserve">, les arrivées en provenance des pays européens pourvoyeurs historique continuant de décliner.  </w:t>
      </w:r>
    </w:p>
    <w:p w14:paraId="6DD125C2" w14:textId="69918912" w:rsidR="00F951C1" w:rsidRPr="0079420B" w:rsidRDefault="0079420B">
      <w:pPr>
        <w:spacing w:after="120" w:line="240" w:lineRule="auto"/>
        <w:ind w:right="-77"/>
        <w:jc w:val="both"/>
        <w:rPr>
          <w:rFonts w:cs="Arial"/>
          <w:szCs w:val="20"/>
        </w:rPr>
      </w:pPr>
      <w:r w:rsidRPr="0079420B">
        <w:rPr>
          <w:rFonts w:cs="Arial"/>
          <w:b/>
          <w:szCs w:val="20"/>
        </w:rPr>
        <w:t>En 2017, la reprise s’est nettement renforcée, avec une augmentation de la fréquentation de 23% par rapport à 2016 – grâce notamment à une reprise du marché européen, portée par les marchés français (570 000 d’entrées, soit +45%) et allemand (180 000 touristes, soit +40%)</w:t>
      </w:r>
      <w:r w:rsidRPr="0079420B">
        <w:rPr>
          <w:rFonts w:cs="Arial"/>
          <w:szCs w:val="20"/>
        </w:rPr>
        <w:t>.</w:t>
      </w:r>
      <w:r w:rsidRPr="0079420B">
        <w:rPr>
          <w:rFonts w:cs="Arial"/>
          <w:b/>
          <w:szCs w:val="20"/>
        </w:rPr>
        <w:t xml:space="preserve"> </w:t>
      </w:r>
      <w:r w:rsidRPr="0079420B">
        <w:rPr>
          <w:rFonts w:cs="Arial"/>
          <w:szCs w:val="20"/>
        </w:rPr>
        <w:t>L’Algérie s’impose comme le premier pourvoyeur de touristes dans le pays (2,5 M, soit une augmentation de 38% des flux), devant la Libye et la France. Les touristes en provenance de Russie gardent une place importante en 2017, même si leur nombre est en recul par rapport à 2016 (515 000, soit -17%). On observe également un frémissement du marché chinois qui reste cependant confidentiel (16 000 touristes)</w:t>
      </w:r>
      <w:r w:rsidR="00F951C1">
        <w:rPr>
          <w:rFonts w:cs="Arial"/>
          <w:szCs w:val="20"/>
        </w:rPr>
        <w:t>.</w:t>
      </w:r>
    </w:p>
    <w:p w14:paraId="4D208EE6" w14:textId="4CF184AB" w:rsidR="004E68D5" w:rsidRPr="0079420B" w:rsidRDefault="0079420B">
      <w:pPr>
        <w:spacing w:after="120" w:line="240" w:lineRule="auto"/>
        <w:ind w:right="-77"/>
        <w:jc w:val="both"/>
        <w:rPr>
          <w:rFonts w:cs="Arial"/>
          <w:szCs w:val="20"/>
        </w:rPr>
      </w:pPr>
      <w:r w:rsidRPr="0079420B">
        <w:rPr>
          <w:rFonts w:cs="Arial"/>
          <w:b/>
          <w:szCs w:val="20"/>
        </w:rPr>
        <w:t>Globalement, le secteur bénéficie de la stabilisation de la situation sécuritaire et d’une amélioration de la perception du climat par les opérateurs</w:t>
      </w:r>
      <w:r w:rsidRPr="0079420B">
        <w:rPr>
          <w:rFonts w:cs="Arial"/>
          <w:szCs w:val="20"/>
        </w:rPr>
        <w:t>. Par ailleurs, alors qu’elle était déjà reconnue comme étant une destination bon marché, la forte dépréciation du dinar observée ces derniers mois (-20% par rapport à l’euro sur l’année 2017, -35% depuis début 2011) renforce encore la compétitivité de la destination. Cependant, pour la même raison, si les recettes touristiques ont fortement augmenté en dinar en 2017 (+16% par rapport à 2016), ce n’est pas le cas en devises étrangères (-6% par rapport à l’euro et stable en dollar) où elles restent plus de deux fois inférieurs à leur niveau de 2010 et 2014.</w:t>
      </w:r>
    </w:p>
    <w:p w14:paraId="2FC45A1E" w14:textId="70C4E77C" w:rsidR="008D58D1" w:rsidRPr="0079420B" w:rsidRDefault="0079420B" w:rsidP="00AA4181">
      <w:pPr>
        <w:pStyle w:val="Paragraphedeliste"/>
        <w:numPr>
          <w:ilvl w:val="0"/>
          <w:numId w:val="20"/>
        </w:numPr>
        <w:spacing w:before="120" w:after="120" w:line="240" w:lineRule="auto"/>
        <w:ind w:left="714" w:hanging="357"/>
        <w:contextualSpacing w:val="0"/>
        <w:rPr>
          <w:rFonts w:eastAsiaTheme="majorEastAsia" w:cs="Arial"/>
          <w:b/>
          <w:bCs/>
          <w:color w:val="122255"/>
          <w:sz w:val="24"/>
          <w:szCs w:val="20"/>
        </w:rPr>
      </w:pPr>
      <w:r w:rsidRPr="0079420B">
        <w:rPr>
          <w:rFonts w:eastAsiaTheme="majorEastAsia" w:cs="Arial"/>
          <w:b/>
          <w:bCs/>
          <w:color w:val="122255"/>
          <w:sz w:val="24"/>
          <w:szCs w:val="20"/>
        </w:rPr>
        <w:t>Le secteur est de nouveau attractif pour les opérateurs étrangers, il reste toutefois confronté à de nombreuses et profondes difficultés</w:t>
      </w:r>
    </w:p>
    <w:p w14:paraId="68C63D65" w14:textId="77777777" w:rsidR="0079420B" w:rsidRPr="0079420B" w:rsidRDefault="0079420B" w:rsidP="00D31546">
      <w:pPr>
        <w:spacing w:after="120" w:line="240" w:lineRule="auto"/>
        <w:ind w:right="-77"/>
        <w:jc w:val="both"/>
        <w:rPr>
          <w:rFonts w:eastAsia="Calibri" w:cs="Arial"/>
          <w:szCs w:val="20"/>
        </w:rPr>
      </w:pPr>
      <w:r w:rsidRPr="0079420B">
        <w:rPr>
          <w:rFonts w:eastAsia="Calibri" w:cs="Arial"/>
          <w:szCs w:val="20"/>
        </w:rPr>
        <w:t>Au bénéfice de la reprise et encouragés par l’amélioration des recommandations aux voyageurs et la levée des restrictions (Royaume-Uni, Belgique),</w:t>
      </w:r>
      <w:r w:rsidRPr="0079420B">
        <w:rPr>
          <w:rFonts w:eastAsia="Calibri" w:cs="Arial"/>
          <w:b/>
          <w:szCs w:val="20"/>
        </w:rPr>
        <w:t xml:space="preserve"> plusieurs opérateurs qui avaient réduit ou suspendu leur activité dans le pays, ont annoncé leur volonté de revenir ou de renforcer leur présence</w:t>
      </w:r>
      <w:r w:rsidRPr="0079420B">
        <w:rPr>
          <w:rFonts w:eastAsia="Calibri" w:cs="Arial"/>
          <w:szCs w:val="20"/>
        </w:rPr>
        <w:t xml:space="preserve">. C’est le cas de </w:t>
      </w:r>
      <w:r w:rsidRPr="0079420B">
        <w:rPr>
          <w:rFonts w:eastAsia="Calibri" w:cs="Arial"/>
          <w:i/>
          <w:szCs w:val="20"/>
        </w:rPr>
        <w:t>Thomas Cook</w:t>
      </w:r>
      <w:r w:rsidRPr="0079420B">
        <w:rPr>
          <w:rFonts w:eastAsia="Calibri" w:cs="Arial"/>
          <w:szCs w:val="20"/>
        </w:rPr>
        <w:t xml:space="preserve">, qui a prévu de quadrupler le nombre de voyageurs transportées sur l’année, pour atteindre 30 000 visiteurs. Le tour-opérateur </w:t>
      </w:r>
      <w:r w:rsidRPr="0079420B">
        <w:rPr>
          <w:rFonts w:eastAsia="Calibri" w:cs="Arial"/>
          <w:i/>
          <w:szCs w:val="20"/>
        </w:rPr>
        <w:t>FRAM</w:t>
      </w:r>
      <w:r w:rsidRPr="0079420B">
        <w:rPr>
          <w:rFonts w:eastAsia="Calibri" w:cs="Arial"/>
          <w:szCs w:val="20"/>
        </w:rPr>
        <w:t xml:space="preserve">, dont l’activité en Tunisie était jusque-là concentrée sur Djerba, a annoncé son retour à Hammamet dès 2018 avec l’ouverture d’un club </w:t>
      </w:r>
      <w:proofErr w:type="spellStart"/>
      <w:r w:rsidRPr="0079420B">
        <w:rPr>
          <w:rFonts w:eastAsia="Calibri" w:cs="Arial"/>
          <w:i/>
          <w:szCs w:val="20"/>
        </w:rPr>
        <w:t>Framissima</w:t>
      </w:r>
      <w:proofErr w:type="spellEnd"/>
      <w:r w:rsidRPr="0079420B">
        <w:rPr>
          <w:rFonts w:eastAsia="Calibri" w:cs="Arial"/>
          <w:szCs w:val="20"/>
        </w:rPr>
        <w:t xml:space="preserve">. Enfin, le TO allemand </w:t>
      </w:r>
      <w:r w:rsidRPr="0079420B">
        <w:rPr>
          <w:rFonts w:eastAsia="Calibri" w:cs="Arial"/>
          <w:i/>
          <w:szCs w:val="20"/>
        </w:rPr>
        <w:t>TUI</w:t>
      </w:r>
      <w:r w:rsidRPr="0079420B">
        <w:rPr>
          <w:rFonts w:eastAsia="Calibri" w:cs="Arial"/>
          <w:szCs w:val="20"/>
        </w:rPr>
        <w:t xml:space="preserve">  a également annoncé son retour en Tunisie. </w:t>
      </w:r>
    </w:p>
    <w:p w14:paraId="182E41C8" w14:textId="77777777" w:rsidR="0079420B" w:rsidRPr="0079420B" w:rsidRDefault="0079420B">
      <w:pPr>
        <w:spacing w:after="120" w:line="240" w:lineRule="auto"/>
        <w:ind w:right="-77"/>
        <w:jc w:val="both"/>
        <w:rPr>
          <w:rFonts w:eastAsia="Calibri" w:cs="Arial"/>
          <w:i/>
          <w:szCs w:val="20"/>
        </w:rPr>
      </w:pPr>
      <w:r w:rsidRPr="0079420B">
        <w:rPr>
          <w:rFonts w:eastAsia="Calibri" w:cs="Arial"/>
          <w:b/>
          <w:szCs w:val="20"/>
        </w:rPr>
        <w:t xml:space="preserve">Par ailleurs, plusieurs enseignes hôtelières internationales sont également en train de s’implanter en Tunisie ou de renforcer leur présence : </w:t>
      </w:r>
      <w:r w:rsidRPr="0079420B">
        <w:rPr>
          <w:rFonts w:eastAsia="Calibri" w:cs="Arial"/>
          <w:szCs w:val="20"/>
        </w:rPr>
        <w:t xml:space="preserve">inauguration en décembre 2017 d’une unité </w:t>
      </w:r>
      <w:r w:rsidRPr="0079420B">
        <w:rPr>
          <w:rFonts w:eastAsia="Calibri" w:cs="Arial"/>
          <w:i/>
          <w:szCs w:val="20"/>
        </w:rPr>
        <w:t xml:space="preserve">Four </w:t>
      </w:r>
      <w:proofErr w:type="spellStart"/>
      <w:r w:rsidRPr="0079420B">
        <w:rPr>
          <w:rFonts w:eastAsia="Calibri" w:cs="Arial"/>
          <w:i/>
          <w:szCs w:val="20"/>
        </w:rPr>
        <w:t>Seasons</w:t>
      </w:r>
      <w:proofErr w:type="spellEnd"/>
      <w:r w:rsidRPr="0079420B">
        <w:rPr>
          <w:rFonts w:eastAsia="Calibri" w:cs="Arial"/>
          <w:szCs w:val="20"/>
        </w:rPr>
        <w:t xml:space="preserve"> de plus de 200 chambres</w:t>
      </w:r>
      <w:r w:rsidRPr="0079420B">
        <w:rPr>
          <w:rFonts w:eastAsia="Calibri" w:cs="Arial"/>
          <w:i/>
          <w:szCs w:val="20"/>
        </w:rPr>
        <w:t xml:space="preserve">, </w:t>
      </w:r>
      <w:r w:rsidRPr="0079420B">
        <w:rPr>
          <w:rFonts w:eastAsia="Calibri" w:cs="Arial"/>
          <w:szCs w:val="20"/>
        </w:rPr>
        <w:t>ouverture d’une troisième unité</w:t>
      </w:r>
      <w:r w:rsidRPr="0079420B">
        <w:rPr>
          <w:rFonts w:eastAsia="Calibri" w:cs="Arial"/>
          <w:i/>
          <w:szCs w:val="20"/>
        </w:rPr>
        <w:t xml:space="preserve"> </w:t>
      </w:r>
      <w:proofErr w:type="spellStart"/>
      <w:r w:rsidRPr="0079420B">
        <w:rPr>
          <w:rFonts w:eastAsia="Calibri" w:cs="Arial"/>
          <w:i/>
          <w:szCs w:val="20"/>
        </w:rPr>
        <w:t>Mövenpick</w:t>
      </w:r>
      <w:proofErr w:type="spellEnd"/>
      <w:r w:rsidRPr="0079420B">
        <w:rPr>
          <w:rFonts w:eastAsia="Calibri" w:cs="Arial"/>
          <w:szCs w:val="20"/>
        </w:rPr>
        <w:t xml:space="preserve"> aux Berges du Lac en 2018, inauguration prochaine de trois unités</w:t>
      </w:r>
      <w:r w:rsidRPr="0079420B">
        <w:rPr>
          <w:rFonts w:eastAsia="Calibri" w:cs="Arial"/>
          <w:i/>
          <w:szCs w:val="20"/>
        </w:rPr>
        <w:t xml:space="preserve"> Hilton </w:t>
      </w:r>
      <w:proofErr w:type="spellStart"/>
      <w:r w:rsidRPr="0079420B">
        <w:rPr>
          <w:rFonts w:eastAsia="Calibri" w:cs="Arial"/>
          <w:i/>
          <w:szCs w:val="20"/>
        </w:rPr>
        <w:t>Hotels</w:t>
      </w:r>
      <w:proofErr w:type="spellEnd"/>
      <w:r w:rsidRPr="0079420B">
        <w:rPr>
          <w:rFonts w:eastAsia="Calibri" w:cs="Arial"/>
          <w:i/>
          <w:szCs w:val="20"/>
        </w:rPr>
        <w:t xml:space="preserve">, </w:t>
      </w:r>
      <w:r w:rsidRPr="0079420B">
        <w:rPr>
          <w:rFonts w:eastAsia="Calibri" w:cs="Arial"/>
          <w:szCs w:val="20"/>
        </w:rPr>
        <w:t>ouverture d’un nouvel hôtel haut de gamme à Tozeur en 2018 sous l’enseigne</w:t>
      </w:r>
      <w:r w:rsidRPr="0079420B">
        <w:rPr>
          <w:rFonts w:eastAsia="Calibri" w:cs="Arial"/>
          <w:i/>
          <w:szCs w:val="20"/>
        </w:rPr>
        <w:t xml:space="preserve"> </w:t>
      </w:r>
      <w:proofErr w:type="spellStart"/>
      <w:r w:rsidRPr="0079420B">
        <w:rPr>
          <w:rFonts w:eastAsia="Calibri" w:cs="Arial"/>
          <w:i/>
          <w:szCs w:val="20"/>
        </w:rPr>
        <w:t>Anantara</w:t>
      </w:r>
      <w:proofErr w:type="spellEnd"/>
      <w:r w:rsidRPr="0079420B">
        <w:rPr>
          <w:rFonts w:eastAsia="Calibri" w:cs="Arial"/>
          <w:i/>
          <w:szCs w:val="20"/>
        </w:rPr>
        <w:t xml:space="preserve"> </w:t>
      </w:r>
      <w:proofErr w:type="spellStart"/>
      <w:r w:rsidRPr="0079420B">
        <w:rPr>
          <w:rFonts w:eastAsia="Calibri" w:cs="Arial"/>
          <w:i/>
          <w:szCs w:val="20"/>
        </w:rPr>
        <w:t>Resort</w:t>
      </w:r>
      <w:proofErr w:type="spellEnd"/>
      <w:r w:rsidRPr="0079420B">
        <w:rPr>
          <w:rFonts w:eastAsia="Calibri" w:cs="Arial"/>
          <w:i/>
          <w:szCs w:val="20"/>
        </w:rPr>
        <w:t xml:space="preserve">, </w:t>
      </w:r>
      <w:r w:rsidRPr="0079420B">
        <w:rPr>
          <w:rFonts w:eastAsia="Calibri" w:cs="Arial"/>
          <w:szCs w:val="20"/>
        </w:rPr>
        <w:t>développement</w:t>
      </w:r>
      <w:r w:rsidRPr="0079420B">
        <w:rPr>
          <w:rFonts w:eastAsia="Calibri" w:cs="Arial"/>
          <w:i/>
          <w:szCs w:val="20"/>
        </w:rPr>
        <w:t xml:space="preserve"> </w:t>
      </w:r>
      <w:r w:rsidRPr="0079420B">
        <w:rPr>
          <w:rFonts w:eastAsia="Calibri" w:cs="Arial"/>
          <w:szCs w:val="20"/>
        </w:rPr>
        <w:t>de</w:t>
      </w:r>
      <w:r w:rsidRPr="0079420B">
        <w:rPr>
          <w:rFonts w:eastAsia="Calibri" w:cs="Arial"/>
          <w:i/>
          <w:szCs w:val="20"/>
        </w:rPr>
        <w:t xml:space="preserve"> </w:t>
      </w:r>
      <w:r w:rsidRPr="0079420B">
        <w:rPr>
          <w:rFonts w:eastAsia="Calibri" w:cs="Arial"/>
          <w:szCs w:val="20"/>
        </w:rPr>
        <w:t xml:space="preserve">deux projets du groupe hôtelier </w:t>
      </w:r>
      <w:proofErr w:type="spellStart"/>
      <w:r w:rsidRPr="0079420B">
        <w:rPr>
          <w:rFonts w:eastAsia="Calibri" w:cs="Arial"/>
          <w:i/>
          <w:szCs w:val="20"/>
        </w:rPr>
        <w:t>Cenizaro</w:t>
      </w:r>
      <w:proofErr w:type="spellEnd"/>
      <w:r w:rsidRPr="0079420B">
        <w:rPr>
          <w:rFonts w:eastAsia="Calibri" w:cs="Arial"/>
          <w:i/>
          <w:szCs w:val="20"/>
        </w:rPr>
        <w:t xml:space="preserve"> </w:t>
      </w:r>
      <w:proofErr w:type="spellStart"/>
      <w:r w:rsidRPr="0079420B">
        <w:rPr>
          <w:rFonts w:eastAsia="Calibri" w:cs="Arial"/>
          <w:i/>
          <w:szCs w:val="20"/>
        </w:rPr>
        <w:t>Hotels</w:t>
      </w:r>
      <w:proofErr w:type="spellEnd"/>
      <w:r w:rsidRPr="0079420B">
        <w:rPr>
          <w:rFonts w:eastAsia="Calibri" w:cs="Arial"/>
          <w:szCs w:val="20"/>
        </w:rPr>
        <w:t xml:space="preserve"> dans la Médina de Tunis et à </w:t>
      </w:r>
      <w:proofErr w:type="spellStart"/>
      <w:r w:rsidRPr="0079420B">
        <w:rPr>
          <w:rFonts w:eastAsia="Calibri" w:cs="Arial"/>
          <w:szCs w:val="20"/>
        </w:rPr>
        <w:t>Douz</w:t>
      </w:r>
      <w:proofErr w:type="spellEnd"/>
      <w:r w:rsidRPr="0079420B">
        <w:rPr>
          <w:rFonts w:eastAsia="Calibri" w:cs="Arial"/>
          <w:szCs w:val="20"/>
        </w:rPr>
        <w:t xml:space="preserve"> (grand sud tunisien), etc. Le groupe hôtelier qatari </w:t>
      </w:r>
      <w:r w:rsidRPr="0079420B">
        <w:rPr>
          <w:rFonts w:eastAsia="Calibri" w:cs="Arial"/>
          <w:i/>
          <w:szCs w:val="20"/>
        </w:rPr>
        <w:t xml:space="preserve">Qatar </w:t>
      </w:r>
      <w:proofErr w:type="spellStart"/>
      <w:r w:rsidRPr="0079420B">
        <w:rPr>
          <w:rFonts w:eastAsia="Calibri" w:cs="Arial"/>
          <w:i/>
          <w:szCs w:val="20"/>
        </w:rPr>
        <w:t>Luxury</w:t>
      </w:r>
      <w:proofErr w:type="spellEnd"/>
      <w:r w:rsidRPr="0079420B">
        <w:rPr>
          <w:rFonts w:eastAsia="Calibri" w:cs="Arial"/>
          <w:i/>
          <w:szCs w:val="20"/>
        </w:rPr>
        <w:t xml:space="preserve"> </w:t>
      </w:r>
      <w:proofErr w:type="spellStart"/>
      <w:r w:rsidRPr="0079420B">
        <w:rPr>
          <w:rFonts w:eastAsia="Calibri" w:cs="Arial"/>
          <w:i/>
          <w:szCs w:val="20"/>
        </w:rPr>
        <w:t>Hotels</w:t>
      </w:r>
      <w:proofErr w:type="spellEnd"/>
      <w:r w:rsidRPr="0079420B">
        <w:rPr>
          <w:rFonts w:eastAsia="Calibri" w:cs="Arial"/>
          <w:i/>
          <w:szCs w:val="20"/>
        </w:rPr>
        <w:t xml:space="preserve"> and </w:t>
      </w:r>
      <w:proofErr w:type="spellStart"/>
      <w:r w:rsidRPr="0079420B">
        <w:rPr>
          <w:rFonts w:eastAsia="Calibri" w:cs="Arial"/>
          <w:i/>
          <w:szCs w:val="20"/>
        </w:rPr>
        <w:t>Resorts</w:t>
      </w:r>
      <w:proofErr w:type="spellEnd"/>
      <w:r w:rsidRPr="0079420B">
        <w:rPr>
          <w:rFonts w:eastAsia="Calibri" w:cs="Arial"/>
          <w:szCs w:val="20"/>
        </w:rPr>
        <w:t xml:space="preserve">, après avoir ouvert en 2016 un nouvel hôtel à Tabarka, a également annoncé au cours de la conférence </w:t>
      </w:r>
      <w:r w:rsidRPr="0079420B">
        <w:rPr>
          <w:rFonts w:eastAsia="Calibri" w:cs="Arial"/>
          <w:i/>
          <w:szCs w:val="20"/>
        </w:rPr>
        <w:t>Tunisia 2020</w:t>
      </w:r>
      <w:r w:rsidRPr="0079420B">
        <w:rPr>
          <w:rFonts w:eastAsia="Calibri" w:cs="Arial"/>
          <w:szCs w:val="20"/>
        </w:rPr>
        <w:t xml:space="preserve"> le lancement d’un méga projet commercial et touristique dans la banlieue nord de Tunis. </w:t>
      </w:r>
    </w:p>
    <w:p w14:paraId="419E5353" w14:textId="77777777" w:rsidR="0079420B" w:rsidRPr="0079420B" w:rsidRDefault="0079420B">
      <w:pPr>
        <w:spacing w:after="120" w:line="240" w:lineRule="auto"/>
        <w:ind w:right="-77"/>
        <w:jc w:val="both"/>
        <w:rPr>
          <w:rFonts w:eastAsia="Calibri" w:cs="Arial"/>
          <w:szCs w:val="20"/>
        </w:rPr>
      </w:pPr>
      <w:r w:rsidRPr="0079420B">
        <w:rPr>
          <w:rFonts w:eastAsia="Calibri" w:cs="Arial"/>
          <w:szCs w:val="20"/>
        </w:rPr>
        <w:t xml:space="preserve">Cependant, </w:t>
      </w:r>
      <w:r w:rsidRPr="0079420B">
        <w:rPr>
          <w:rFonts w:eastAsia="Calibri" w:cs="Arial"/>
          <w:b/>
          <w:szCs w:val="20"/>
        </w:rPr>
        <w:t>le secteur fait face depuis plusieurs années à de nombreuses et profondes difficultés</w:t>
      </w:r>
      <w:r w:rsidRPr="0079420B">
        <w:rPr>
          <w:rFonts w:eastAsia="Calibri" w:cs="Arial"/>
          <w:szCs w:val="20"/>
        </w:rPr>
        <w:t xml:space="preserve">: manque de diversité de l’offre, centrée sur le tout-balnéaire et le tout-hôtelier ; endettement endémique qui </w:t>
      </w:r>
      <w:r w:rsidRPr="0079420B">
        <w:rPr>
          <w:rFonts w:eastAsia="Calibri" w:cs="Arial"/>
          <w:szCs w:val="20"/>
        </w:rPr>
        <w:lastRenderedPageBreak/>
        <w:t xml:space="preserve">grève la capacité des professionnels à financer leurs investissements, ce qui affecte la qualité des infrastructures ; faible niveau de service, en lien avec une formation défaillante, etc. Ainsi, si le taux d’occupation s’est nettement amélioré en 2016 (40%), la qualité des prestations est régulièrement jugée décevante (problème de classification hôtelière et dégradation globale de l’offre), et la Tunisie est principalement perçue comme une destination </w:t>
      </w:r>
      <w:r w:rsidRPr="0079420B">
        <w:rPr>
          <w:rFonts w:eastAsia="Calibri" w:cs="Arial"/>
          <w:i/>
          <w:szCs w:val="20"/>
        </w:rPr>
        <w:t>low-cost</w:t>
      </w:r>
      <w:r w:rsidRPr="0079420B">
        <w:rPr>
          <w:rFonts w:eastAsia="Calibri" w:cs="Arial"/>
          <w:szCs w:val="20"/>
        </w:rPr>
        <w:t xml:space="preserve">. </w:t>
      </w:r>
    </w:p>
    <w:p w14:paraId="035851FA" w14:textId="457BF623" w:rsidR="004E68D5" w:rsidRPr="0079420B" w:rsidRDefault="0079420B">
      <w:pPr>
        <w:spacing w:after="160" w:line="240" w:lineRule="auto"/>
        <w:jc w:val="both"/>
        <w:rPr>
          <w:rFonts w:eastAsia="Calibri" w:cs="Arial"/>
          <w:szCs w:val="20"/>
        </w:rPr>
      </w:pPr>
      <w:r w:rsidRPr="0079420B">
        <w:rPr>
          <w:rFonts w:eastAsia="Calibri" w:cs="Arial"/>
          <w:szCs w:val="20"/>
        </w:rPr>
        <w:t xml:space="preserve">Si l’arrivée et le renforcement des opérateurs et des grandes enseignes est de nature à permettre la montée en gamme du secteur du tourisme, </w:t>
      </w:r>
      <w:r w:rsidRPr="0079420B">
        <w:rPr>
          <w:rFonts w:eastAsia="Calibri" w:cs="Arial"/>
          <w:b/>
          <w:szCs w:val="20"/>
        </w:rPr>
        <w:t>le gouvernement doit désormais accélérer sur le plan des réformes</w:t>
      </w:r>
      <w:r w:rsidRPr="0079420B">
        <w:rPr>
          <w:rFonts w:eastAsia="Calibri" w:cs="Arial"/>
          <w:szCs w:val="20"/>
        </w:rPr>
        <w:t> : traitement du problème de l’endettement du secteur pour accompagner la mise à niveau des infrastructures hôtelières, mise en place d’un système crédible de standards afin d’améliorer la qualité des services proposés, amélioration et modernisation des formations proposées. L’Office National du Tourisme Tunisien (ONTT) doit également insister dans la mise en œuvre de sa stratégie de diversification de l’offre tunisienne en matière d’hébergement (ne plus miser sur le tout-hôtel, mais aussi sur l’hébergement alternatif) et en matière d’activités (sortir du tout-balnéaire et développer le tourisme intérieur et de court séjour, le tourisme culturel, médical, sportif, etc.).</w:t>
      </w:r>
    </w:p>
    <w:p w14:paraId="263E51B6" w14:textId="77777777" w:rsidR="0079420B" w:rsidRPr="0079420B" w:rsidRDefault="0079420B" w:rsidP="00AA4181">
      <w:pPr>
        <w:pStyle w:val="Paragraphedeliste"/>
        <w:numPr>
          <w:ilvl w:val="0"/>
          <w:numId w:val="20"/>
        </w:numPr>
        <w:spacing w:before="120" w:after="120" w:line="240" w:lineRule="auto"/>
        <w:ind w:left="714" w:hanging="357"/>
        <w:contextualSpacing w:val="0"/>
        <w:rPr>
          <w:rFonts w:eastAsiaTheme="majorEastAsia" w:cs="Arial"/>
          <w:b/>
          <w:bCs/>
          <w:color w:val="122255"/>
          <w:sz w:val="24"/>
          <w:szCs w:val="20"/>
        </w:rPr>
      </w:pPr>
      <w:r w:rsidRPr="0079420B">
        <w:rPr>
          <w:rFonts w:eastAsiaTheme="majorEastAsia" w:cs="Arial"/>
          <w:b/>
          <w:bCs/>
          <w:color w:val="122255"/>
          <w:sz w:val="24"/>
          <w:szCs w:val="20"/>
        </w:rPr>
        <w:t>La France poursuit ses efforts pour accompagner la réforme du secteur touristique tunisien</w:t>
      </w:r>
    </w:p>
    <w:p w14:paraId="6A1AECE4" w14:textId="77777777" w:rsidR="0079420B" w:rsidRPr="0079420B" w:rsidRDefault="0079420B" w:rsidP="00D31546">
      <w:pPr>
        <w:pStyle w:val="Sansinterligne"/>
        <w:spacing w:after="120"/>
        <w:jc w:val="both"/>
        <w:rPr>
          <w:rFonts w:ascii="Arial" w:hAnsi="Arial" w:cs="Arial"/>
          <w:sz w:val="20"/>
          <w:szCs w:val="20"/>
        </w:rPr>
      </w:pPr>
      <w:r w:rsidRPr="0079420B">
        <w:rPr>
          <w:rFonts w:ascii="Arial" w:hAnsi="Arial" w:cs="Arial"/>
          <w:sz w:val="20"/>
          <w:szCs w:val="20"/>
        </w:rPr>
        <w:t xml:space="preserve">Dans la période récente, </w:t>
      </w:r>
      <w:r w:rsidRPr="0079420B">
        <w:rPr>
          <w:rFonts w:ascii="Arial" w:hAnsi="Arial" w:cs="Arial"/>
          <w:b/>
          <w:sz w:val="20"/>
          <w:szCs w:val="20"/>
        </w:rPr>
        <w:t>l’AFD a apporté son soutien financier à de nombreux projets dans le secteur du tourisme</w:t>
      </w:r>
      <w:r w:rsidRPr="0079420B">
        <w:rPr>
          <w:rFonts w:ascii="Arial" w:hAnsi="Arial" w:cs="Arial"/>
          <w:sz w:val="20"/>
          <w:szCs w:val="20"/>
        </w:rPr>
        <w:t xml:space="preserve"> : (i) Programme de mise à niveau des hôtels sous la forme d’une ligne de crédit bonifiée de 50 M€ (2005-2013) ; (ii) Création ou réhabilitation de cinq centres de formation professionnelle dans le secteur du tourisme et de l’hôtellerie (prêt de de 15 M€ ; 2005-2010)  ; (iii) Subvention en faveur d’Atout France pour aider l’ONTT à mettre en place une nouvelle stratégie marketing, promouvoir le tourisme à l’étranger et identifier de nouveaux sites et produits culturels (2013) ; (iv) Rénovation des Médinas de Tunis, Kairouan, Sfax et Sousse. </w:t>
      </w:r>
      <w:r w:rsidRPr="0079420B">
        <w:rPr>
          <w:rFonts w:ascii="Arial" w:hAnsi="Arial" w:cs="Arial"/>
          <w:b/>
          <w:sz w:val="20"/>
          <w:szCs w:val="20"/>
        </w:rPr>
        <w:t xml:space="preserve">Expertise France est intervenue dans le cadre d’un jumelage institutionnel </w:t>
      </w:r>
      <w:r w:rsidRPr="0079420B">
        <w:rPr>
          <w:rFonts w:ascii="Arial" w:hAnsi="Arial" w:cs="Arial"/>
          <w:sz w:val="20"/>
          <w:szCs w:val="20"/>
        </w:rPr>
        <w:t>remporté par un consortium franco-autrichien en faveur de la création d’un « label qualité tourisme », lancé en septembre 2017 et qui a pour objectif de promouvoir et de renforcer la qualité des services dans le secteur touristique</w:t>
      </w:r>
    </w:p>
    <w:p w14:paraId="25FEDBF1" w14:textId="715C0395" w:rsidR="0079420B" w:rsidRPr="0079420B" w:rsidRDefault="0079420B">
      <w:pPr>
        <w:pStyle w:val="Sansinterligne"/>
        <w:spacing w:after="120"/>
        <w:jc w:val="both"/>
        <w:rPr>
          <w:rFonts w:ascii="Arial" w:hAnsi="Arial" w:cs="Arial"/>
          <w:sz w:val="20"/>
          <w:szCs w:val="20"/>
        </w:rPr>
      </w:pPr>
      <w:r w:rsidRPr="0079420B">
        <w:rPr>
          <w:rFonts w:ascii="Arial" w:hAnsi="Arial" w:cs="Arial"/>
          <w:b/>
          <w:sz w:val="20"/>
          <w:szCs w:val="20"/>
        </w:rPr>
        <w:t>L’Institut Français de Tunis (IFT) intervient à travers le fonds de soutien à la coopération décentralisée franco-tunisienne qui a permis de soutenir plusieurs projets liés au tourisme</w:t>
      </w:r>
      <w:r w:rsidRPr="0079420B">
        <w:rPr>
          <w:rFonts w:ascii="Arial" w:hAnsi="Arial" w:cs="Arial"/>
          <w:sz w:val="20"/>
          <w:szCs w:val="20"/>
        </w:rPr>
        <w:t xml:space="preserve">, comme à Bizerte (appui à la valorisation du patrimoine urbain et paysager) à Sfax (assistance pour le montage du dossier de classement de la Médina et sa réhabilitation, création d'un circuit de tourisme solidaire) ou au Kef (appui à la valorisation du patrimoine local et à l’émergence d’un tourisme durable). </w:t>
      </w:r>
      <w:r w:rsidR="00F951C1">
        <w:rPr>
          <w:rFonts w:ascii="Arial" w:hAnsi="Arial" w:cs="Arial"/>
          <w:sz w:val="20"/>
          <w:szCs w:val="20"/>
        </w:rPr>
        <w:t>De nouvelles initiatives</w:t>
      </w:r>
      <w:r w:rsidR="00F951C1" w:rsidRPr="0079420B">
        <w:rPr>
          <w:rFonts w:ascii="Arial" w:hAnsi="Arial" w:cs="Arial"/>
          <w:sz w:val="20"/>
          <w:szCs w:val="20"/>
        </w:rPr>
        <w:t xml:space="preserve"> </w:t>
      </w:r>
      <w:r w:rsidR="00F951C1">
        <w:rPr>
          <w:rFonts w:ascii="Arial" w:hAnsi="Arial" w:cs="Arial"/>
          <w:sz w:val="20"/>
          <w:szCs w:val="20"/>
        </w:rPr>
        <w:t xml:space="preserve">toujours </w:t>
      </w:r>
      <w:r w:rsidRPr="0079420B">
        <w:rPr>
          <w:rFonts w:ascii="Arial" w:hAnsi="Arial" w:cs="Arial"/>
          <w:sz w:val="20"/>
          <w:szCs w:val="20"/>
        </w:rPr>
        <w:t xml:space="preserve">sur le plan de la </w:t>
      </w:r>
      <w:r w:rsidRPr="0079420B">
        <w:rPr>
          <w:rFonts w:ascii="Arial" w:hAnsi="Arial" w:cs="Arial"/>
          <w:b/>
          <w:sz w:val="20"/>
          <w:szCs w:val="20"/>
        </w:rPr>
        <w:t>coopération décentralisée</w:t>
      </w:r>
      <w:r w:rsidR="00F951C1">
        <w:rPr>
          <w:rFonts w:ascii="Arial" w:hAnsi="Arial" w:cs="Arial"/>
          <w:b/>
          <w:sz w:val="20"/>
          <w:szCs w:val="20"/>
        </w:rPr>
        <w:t xml:space="preserve"> </w:t>
      </w:r>
      <w:r w:rsidR="00F951C1" w:rsidRPr="00AA4181">
        <w:rPr>
          <w:rFonts w:ascii="Arial" w:hAnsi="Arial" w:cs="Arial"/>
          <w:sz w:val="20"/>
          <w:szCs w:val="20"/>
        </w:rPr>
        <w:t>sont en cours</w:t>
      </w:r>
      <w:r w:rsidR="00F951C1">
        <w:rPr>
          <w:rFonts w:ascii="Arial" w:hAnsi="Arial" w:cs="Arial"/>
          <w:b/>
          <w:sz w:val="20"/>
          <w:szCs w:val="20"/>
        </w:rPr>
        <w:t xml:space="preserve"> (</w:t>
      </w:r>
      <w:r w:rsidRPr="0079420B">
        <w:rPr>
          <w:rFonts w:ascii="Arial" w:hAnsi="Arial" w:cs="Arial"/>
          <w:sz w:val="20"/>
          <w:szCs w:val="20"/>
          <w:u w:val="single"/>
        </w:rPr>
        <w:t xml:space="preserve">région Ile de </w:t>
      </w:r>
      <w:r w:rsidR="00F951C1">
        <w:rPr>
          <w:rFonts w:ascii="Arial" w:hAnsi="Arial" w:cs="Arial"/>
          <w:sz w:val="20"/>
          <w:szCs w:val="20"/>
          <w:u w:val="single"/>
        </w:rPr>
        <w:t>France</w:t>
      </w:r>
      <w:r w:rsidR="00F951C1" w:rsidRPr="00AA4181">
        <w:rPr>
          <w:rFonts w:ascii="Arial" w:hAnsi="Arial" w:cs="Arial"/>
          <w:sz w:val="20"/>
          <w:szCs w:val="20"/>
        </w:rPr>
        <w:t xml:space="preserve">, </w:t>
      </w:r>
      <w:r w:rsidRPr="0079420B">
        <w:rPr>
          <w:rFonts w:ascii="Arial" w:hAnsi="Arial" w:cs="Arial"/>
          <w:sz w:val="20"/>
          <w:szCs w:val="20"/>
          <w:u w:val="single"/>
        </w:rPr>
        <w:t>région Normandie</w:t>
      </w:r>
      <w:r w:rsidR="00F951C1">
        <w:rPr>
          <w:rFonts w:ascii="Arial" w:hAnsi="Arial" w:cs="Arial"/>
          <w:sz w:val="20"/>
          <w:szCs w:val="20"/>
          <w:u w:val="single"/>
        </w:rPr>
        <w:t>,</w:t>
      </w:r>
      <w:r w:rsidRPr="0079420B">
        <w:rPr>
          <w:rFonts w:ascii="Arial" w:hAnsi="Arial" w:cs="Arial"/>
          <w:sz w:val="20"/>
          <w:szCs w:val="20"/>
        </w:rPr>
        <w:t xml:space="preserve"> </w:t>
      </w:r>
      <w:r w:rsidRPr="0079420B">
        <w:rPr>
          <w:rFonts w:ascii="Arial" w:hAnsi="Arial" w:cs="Arial"/>
          <w:sz w:val="20"/>
          <w:szCs w:val="20"/>
          <w:u w:val="single"/>
        </w:rPr>
        <w:t>mairie de Toulouse</w:t>
      </w:r>
      <w:r w:rsidR="00F951C1">
        <w:rPr>
          <w:rFonts w:ascii="Arial" w:hAnsi="Arial" w:cs="Arial"/>
          <w:sz w:val="20"/>
          <w:szCs w:val="20"/>
        </w:rPr>
        <w:t>)</w:t>
      </w:r>
      <w:r w:rsidRPr="0079420B">
        <w:rPr>
          <w:rFonts w:ascii="Arial" w:hAnsi="Arial" w:cs="Arial"/>
          <w:sz w:val="20"/>
          <w:szCs w:val="20"/>
        </w:rPr>
        <w:t xml:space="preserve">. </w:t>
      </w:r>
    </w:p>
    <w:p w14:paraId="3D4882B8" w14:textId="61CE0E58" w:rsidR="0079420B" w:rsidRPr="0079420B" w:rsidRDefault="0079420B">
      <w:pPr>
        <w:pStyle w:val="Sansinterligne"/>
        <w:spacing w:after="120"/>
        <w:jc w:val="both"/>
        <w:rPr>
          <w:rFonts w:ascii="Arial" w:hAnsi="Arial" w:cs="Arial"/>
          <w:sz w:val="20"/>
          <w:szCs w:val="20"/>
        </w:rPr>
      </w:pPr>
      <w:r w:rsidRPr="0079420B">
        <w:rPr>
          <w:rFonts w:ascii="Arial" w:hAnsi="Arial" w:cs="Arial"/>
          <w:b/>
          <w:sz w:val="20"/>
          <w:szCs w:val="20"/>
        </w:rPr>
        <w:t>Par ailleurs, l’Ambassade de France, mène un certain nombre d’actions qui sont de nature à aider les tunisiens à avancer dans leur réflexion sur la réforme nécessaire du secteur</w:t>
      </w:r>
      <w:r w:rsidRPr="0079420B">
        <w:rPr>
          <w:rFonts w:ascii="Arial" w:hAnsi="Arial" w:cs="Arial"/>
          <w:sz w:val="20"/>
          <w:szCs w:val="20"/>
        </w:rPr>
        <w:t xml:space="preserve"> : appui à l’organisation et présence au </w:t>
      </w:r>
      <w:r w:rsidRPr="0079420B">
        <w:rPr>
          <w:rFonts w:ascii="Arial" w:hAnsi="Arial" w:cs="Arial"/>
          <w:sz w:val="20"/>
          <w:szCs w:val="20"/>
          <w:u w:val="single"/>
        </w:rPr>
        <w:t>colloque organisé par le Sénat</w:t>
      </w:r>
      <w:r w:rsidRPr="0079420B">
        <w:rPr>
          <w:rFonts w:ascii="Arial" w:hAnsi="Arial" w:cs="Arial"/>
          <w:sz w:val="20"/>
          <w:szCs w:val="20"/>
        </w:rPr>
        <w:t xml:space="preserve"> « Revenir en Tunisie, pour une reprise durable du tourisme en Tunisie et pour une coopération France-Tunisie en ce domaine » (mars 2017) ; saison </w:t>
      </w:r>
      <w:r w:rsidRPr="0079420B">
        <w:rPr>
          <w:rFonts w:ascii="Arial" w:hAnsi="Arial" w:cs="Arial"/>
          <w:sz w:val="20"/>
          <w:szCs w:val="20"/>
          <w:u w:val="single"/>
        </w:rPr>
        <w:t>culturelle Djerba Invite la France</w:t>
      </w:r>
      <w:r w:rsidRPr="0079420B">
        <w:rPr>
          <w:rFonts w:ascii="Arial" w:hAnsi="Arial" w:cs="Arial"/>
          <w:sz w:val="20"/>
          <w:szCs w:val="20"/>
        </w:rPr>
        <w:t xml:space="preserve"> dotée d’une programmation riche et susceptible de promouvoir la destination auprès du public français (été 2017) ; publication d’un </w:t>
      </w:r>
      <w:r w:rsidRPr="0079420B">
        <w:rPr>
          <w:rFonts w:ascii="Arial" w:hAnsi="Arial" w:cs="Arial"/>
          <w:sz w:val="20"/>
          <w:szCs w:val="20"/>
          <w:u w:val="single"/>
        </w:rPr>
        <w:t>numéro spécial du magazine Historia</w:t>
      </w:r>
      <w:r w:rsidRPr="0079420B">
        <w:rPr>
          <w:rFonts w:ascii="Arial" w:hAnsi="Arial" w:cs="Arial"/>
          <w:sz w:val="20"/>
          <w:szCs w:val="20"/>
        </w:rPr>
        <w:t xml:space="preserve"> sur la Tunisie ; retour en Tunisie en août 2018 de la régate amateur la route du jasmin qui devrait drainer plus d’une cinquantaine de voiliers</w:t>
      </w:r>
      <w:r w:rsidR="00F951C1">
        <w:rPr>
          <w:rFonts w:ascii="Arial" w:hAnsi="Arial" w:cs="Arial"/>
          <w:sz w:val="20"/>
          <w:szCs w:val="20"/>
        </w:rPr>
        <w:t> ;</w:t>
      </w:r>
      <w:r w:rsidRPr="0079420B">
        <w:rPr>
          <w:rFonts w:ascii="Arial" w:hAnsi="Arial" w:cs="Arial"/>
          <w:sz w:val="20"/>
          <w:szCs w:val="20"/>
        </w:rPr>
        <w:t xml:space="preserve"> évaluation de l’état de préservation de la marina de Sidi Bou Saïd, etc.</w:t>
      </w:r>
    </w:p>
    <w:p w14:paraId="32B1F2B7" w14:textId="3334DEE6" w:rsidR="00D31546" w:rsidRDefault="0079420B" w:rsidP="00AA4181">
      <w:pPr>
        <w:autoSpaceDE w:val="0"/>
        <w:autoSpaceDN w:val="0"/>
        <w:adjustRightInd w:val="0"/>
        <w:spacing w:before="120" w:after="120" w:line="240" w:lineRule="auto"/>
        <w:jc w:val="both"/>
        <w:rPr>
          <w:rFonts w:cs="Arial"/>
          <w:szCs w:val="20"/>
        </w:rPr>
      </w:pPr>
      <w:r w:rsidRPr="0079420B">
        <w:rPr>
          <w:rFonts w:cs="Arial"/>
          <w:b/>
          <w:szCs w:val="20"/>
        </w:rPr>
        <w:t>Enfin, les entreprises françaises restent très actives dans le secteur du tourisme</w:t>
      </w:r>
      <w:r w:rsidRPr="0079420B">
        <w:rPr>
          <w:rFonts w:cs="Arial"/>
          <w:szCs w:val="20"/>
        </w:rPr>
        <w:t xml:space="preserve">. Ainsi, le </w:t>
      </w:r>
      <w:r w:rsidRPr="0079420B">
        <w:rPr>
          <w:rFonts w:cs="Arial"/>
          <w:szCs w:val="20"/>
          <w:u w:val="single"/>
        </w:rPr>
        <w:t xml:space="preserve">groupe Accor </w:t>
      </w:r>
      <w:r w:rsidRPr="0079420B">
        <w:rPr>
          <w:rFonts w:cs="Arial"/>
          <w:szCs w:val="20"/>
        </w:rPr>
        <w:t xml:space="preserve">qui comptait déjà parmi les rares opérateurs à ouvrir deux nouveaux établissements (Ibis et Novotel) à Tunis juste après la révolution a signé en septembre 2016 un protocole d’accord avec la Banque BIAT concernant l’ouverture d’un Novotel à Tunis en 2018 (Berges du Lac). Un hôtel Ibis est en cours de construction à Sfax. Par ailleurs, </w:t>
      </w:r>
      <w:r w:rsidRPr="0079420B">
        <w:rPr>
          <w:rFonts w:cs="Arial"/>
          <w:szCs w:val="20"/>
          <w:u w:val="single"/>
        </w:rPr>
        <w:t xml:space="preserve">Air France </w:t>
      </w:r>
      <w:r w:rsidRPr="0079420B">
        <w:rPr>
          <w:rFonts w:cs="Arial"/>
          <w:szCs w:val="20"/>
        </w:rPr>
        <w:t xml:space="preserve">propose plusieurs vols quotidiens entre Tunis et Paris-Charles de Gaulle. Sa filiale </w:t>
      </w:r>
      <w:proofErr w:type="spellStart"/>
      <w:r w:rsidRPr="0079420B">
        <w:rPr>
          <w:rFonts w:cs="Arial"/>
          <w:szCs w:val="20"/>
          <w:u w:val="single"/>
        </w:rPr>
        <w:t>Transavia</w:t>
      </w:r>
      <w:proofErr w:type="spellEnd"/>
      <w:r w:rsidRPr="0079420B">
        <w:rPr>
          <w:rFonts w:cs="Arial"/>
          <w:szCs w:val="20"/>
        </w:rPr>
        <w:t xml:space="preserve"> dessert également les aéroports de Tunis, Monastir et Djerba. Tous les grands Tour-Opérateurs (TO) français sont présents en Tunisie. Outre qu’ils proposent dans leurs catalogues des séjours dans plusieurs hôtels, ils disposent également de leurs propres clubs, principalement dans la région de Djerba : </w:t>
      </w:r>
      <w:r w:rsidRPr="0079420B">
        <w:rPr>
          <w:rFonts w:cs="Arial"/>
          <w:szCs w:val="20"/>
          <w:u w:val="single"/>
        </w:rPr>
        <w:t xml:space="preserve">Club Med, Marmara </w:t>
      </w:r>
      <w:r w:rsidRPr="0079420B">
        <w:rPr>
          <w:rFonts w:cs="Arial"/>
          <w:szCs w:val="20"/>
        </w:rPr>
        <w:t xml:space="preserve">(groupe allemand TUI), </w:t>
      </w:r>
      <w:r w:rsidRPr="0079420B">
        <w:rPr>
          <w:rFonts w:cs="Arial"/>
          <w:szCs w:val="20"/>
          <w:u w:val="single"/>
        </w:rPr>
        <w:t xml:space="preserve">Transat France/Look Voyage, </w:t>
      </w:r>
      <w:proofErr w:type="spellStart"/>
      <w:r w:rsidRPr="0079420B">
        <w:rPr>
          <w:rFonts w:cs="Arial"/>
          <w:szCs w:val="20"/>
          <w:u w:val="single"/>
        </w:rPr>
        <w:t>Fram</w:t>
      </w:r>
      <w:proofErr w:type="spellEnd"/>
      <w:r w:rsidRPr="0079420B">
        <w:rPr>
          <w:rFonts w:cs="Arial"/>
          <w:szCs w:val="20"/>
          <w:u w:val="single"/>
        </w:rPr>
        <w:t xml:space="preserve"> </w:t>
      </w:r>
      <w:r w:rsidRPr="0079420B">
        <w:rPr>
          <w:rFonts w:cs="Arial"/>
          <w:szCs w:val="20"/>
        </w:rPr>
        <w:t>(</w:t>
      </w:r>
      <w:proofErr w:type="spellStart"/>
      <w:r w:rsidRPr="0079420B">
        <w:rPr>
          <w:rFonts w:cs="Arial"/>
          <w:szCs w:val="20"/>
        </w:rPr>
        <w:t>Karavel-Promovacances</w:t>
      </w:r>
      <w:proofErr w:type="spellEnd"/>
      <w:r w:rsidRPr="0079420B">
        <w:rPr>
          <w:rFonts w:cs="Arial"/>
          <w:szCs w:val="20"/>
        </w:rPr>
        <w:t xml:space="preserve">), </w:t>
      </w:r>
      <w:r w:rsidRPr="0079420B">
        <w:rPr>
          <w:rFonts w:cs="Arial"/>
          <w:szCs w:val="20"/>
          <w:u w:val="single"/>
        </w:rPr>
        <w:t xml:space="preserve">Jet Tours </w:t>
      </w:r>
      <w:r w:rsidRPr="0079420B">
        <w:rPr>
          <w:rFonts w:cs="Arial"/>
          <w:szCs w:val="20"/>
        </w:rPr>
        <w:t xml:space="preserve">(groupe britannique Thomas Cook). Dans le domaine de la formation, le </w:t>
      </w:r>
      <w:r w:rsidRPr="0079420B">
        <w:rPr>
          <w:rFonts w:cs="Arial"/>
          <w:szCs w:val="20"/>
          <w:u w:val="single"/>
        </w:rPr>
        <w:t>groupe Vatel</w:t>
      </w:r>
      <w:r w:rsidRPr="0079420B">
        <w:rPr>
          <w:rFonts w:cs="Arial"/>
          <w:b/>
          <w:szCs w:val="20"/>
        </w:rPr>
        <w:t xml:space="preserve"> </w:t>
      </w:r>
      <w:r w:rsidRPr="0079420B">
        <w:rPr>
          <w:rFonts w:cs="Arial"/>
          <w:szCs w:val="20"/>
        </w:rPr>
        <w:t>est présent dans le pays, le campus de Tunis accueille chaque année environ 150 étudiants en licence et en master pour les former aux métiers de la gestion touristique</w:t>
      </w:r>
      <w:r w:rsidR="00D31546">
        <w:rPr>
          <w:rFonts w:cs="Arial"/>
          <w:szCs w:val="20"/>
        </w:rPr>
        <w:t>.</w:t>
      </w:r>
    </w:p>
    <w:p w14:paraId="4B30CD73" w14:textId="0E57F78C" w:rsidR="00F951C1" w:rsidRPr="00AA4181" w:rsidRDefault="00F951C1" w:rsidP="00AA4181">
      <w:pPr>
        <w:autoSpaceDE w:val="0"/>
        <w:autoSpaceDN w:val="0"/>
        <w:adjustRightInd w:val="0"/>
        <w:spacing w:before="120" w:after="120" w:line="240" w:lineRule="auto"/>
        <w:jc w:val="both"/>
        <w:rPr>
          <w:rFonts w:cs="Arial"/>
          <w:szCs w:val="20"/>
        </w:rPr>
      </w:pPr>
    </w:p>
    <w:tbl>
      <w:tblPr>
        <w:tblStyle w:val="Grilledutableau"/>
        <w:tblpPr w:leftFromText="141" w:rightFromText="141" w:vertAnchor="text" w:horzAnchor="margin" w:tblpY="56"/>
        <w:tblW w:w="0" w:type="auto"/>
        <w:shd w:val="clear" w:color="auto" w:fill="E6A300"/>
        <w:tblLook w:val="04A0" w:firstRow="1" w:lastRow="0" w:firstColumn="1" w:lastColumn="0" w:noHBand="0" w:noVBand="1"/>
      </w:tblPr>
      <w:tblGrid>
        <w:gridCol w:w="9628"/>
      </w:tblGrid>
      <w:tr w:rsidR="00D31546" w:rsidRPr="0079420B" w14:paraId="682277CC" w14:textId="77777777" w:rsidTr="00D31546">
        <w:trPr>
          <w:trHeight w:val="70"/>
        </w:trPr>
        <w:tc>
          <w:tcPr>
            <w:tcW w:w="9628" w:type="dxa"/>
            <w:shd w:val="clear" w:color="auto" w:fill="E6A300"/>
          </w:tcPr>
          <w:p w14:paraId="23BB6BC7" w14:textId="77777777" w:rsidR="00D31546" w:rsidRPr="0079420B" w:rsidRDefault="00D31546" w:rsidP="00D31546">
            <w:pPr>
              <w:pStyle w:val="Titre5"/>
              <w:spacing w:after="120" w:line="276" w:lineRule="auto"/>
              <w:outlineLvl w:val="4"/>
              <w:rPr>
                <w:rFonts w:cs="Arial"/>
                <w:sz w:val="20"/>
                <w:szCs w:val="20"/>
              </w:rPr>
            </w:pPr>
            <w:r w:rsidRPr="0079420B">
              <w:rPr>
                <w:rFonts w:cs="Arial"/>
                <w:sz w:val="20"/>
                <w:szCs w:val="20"/>
              </w:rPr>
              <w:t xml:space="preserve">Clause de non-responsabilité - Le service économique s’efforce de diffuser des informations exactes et à jour, et corrigera, dans la mesure du possible, les erreurs qui lui seront signalées. Toutefois, il ne peut en aucun cas être tenu responsable de l’utilisation et de l’interprétation de l’information contenue dans cette publication. </w:t>
            </w:r>
          </w:p>
        </w:tc>
      </w:tr>
    </w:tbl>
    <w:p w14:paraId="59C547AB" w14:textId="6D4552AF" w:rsidR="000F0B51" w:rsidRPr="0079420B" w:rsidRDefault="000F0B51" w:rsidP="00AA4181">
      <w:pPr>
        <w:tabs>
          <w:tab w:val="left" w:pos="898"/>
        </w:tabs>
        <w:spacing w:before="120" w:after="120"/>
        <w:jc w:val="both"/>
        <w:rPr>
          <w:rFonts w:cs="Arial"/>
          <w:szCs w:val="20"/>
        </w:rPr>
      </w:pPr>
    </w:p>
    <w:sectPr w:rsidR="000F0B51" w:rsidRPr="0079420B" w:rsidSect="00AA4181">
      <w:footerReference w:type="default" r:id="rId8"/>
      <w:pgSz w:w="11906" w:h="16838"/>
      <w:pgMar w:top="568" w:right="1134" w:bottom="0" w:left="1134" w:header="907" w:footer="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F32EA2" w14:textId="77777777" w:rsidR="00425979" w:rsidRDefault="00425979" w:rsidP="00F425DB">
      <w:pPr>
        <w:spacing w:after="0" w:line="240" w:lineRule="auto"/>
      </w:pPr>
      <w:r>
        <w:separator/>
      </w:r>
    </w:p>
  </w:endnote>
  <w:endnote w:type="continuationSeparator" w:id="0">
    <w:p w14:paraId="53ABD6A2" w14:textId="77777777" w:rsidR="00425979" w:rsidRDefault="00425979" w:rsidP="00F42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uturaL">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Gra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122255"/>
      </w:rPr>
      <w:id w:val="104391428"/>
      <w:docPartObj>
        <w:docPartGallery w:val="Page Numbers (Bottom of Page)"/>
        <w:docPartUnique/>
      </w:docPartObj>
    </w:sdtPr>
    <w:sdtEndPr>
      <w:rPr>
        <w:color w:val="auto"/>
        <w:sz w:val="18"/>
        <w:szCs w:val="18"/>
      </w:rPr>
    </w:sdtEndPr>
    <w:sdtContent>
      <w:tbl>
        <w:tblPr>
          <w:tblStyle w:val="Grilledutableau"/>
          <w:tblW w:w="9957" w:type="dxa"/>
          <w:tblInd w:w="108" w:type="dxa"/>
          <w:tblBorders>
            <w:top w:val="single" w:sz="12" w:space="0" w:color="E6A3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6"/>
          <w:gridCol w:w="5040"/>
          <w:gridCol w:w="2331"/>
        </w:tblGrid>
        <w:tr w:rsidR="00347E10" w:rsidRPr="00347E10" w14:paraId="270229AE" w14:textId="77777777" w:rsidTr="00D26110">
          <w:trPr>
            <w:trHeight w:val="815"/>
          </w:trPr>
          <w:tc>
            <w:tcPr>
              <w:tcW w:w="2586" w:type="dxa"/>
            </w:tcPr>
            <w:p w14:paraId="37520FAD" w14:textId="7892EC55" w:rsidR="005A69FD" w:rsidRPr="00FF6E23" w:rsidRDefault="00D26110" w:rsidP="00D26110">
              <w:pPr>
                <w:tabs>
                  <w:tab w:val="left" w:pos="2194"/>
                </w:tabs>
                <w:spacing w:before="120"/>
                <w:rPr>
                  <w:rFonts w:ascii="Arial Gras" w:hAnsi="Arial Gras" w:cs="Arial"/>
                  <w:b/>
                  <w:bCs/>
                  <w:color w:val="122255"/>
                  <w:sz w:val="16"/>
                </w:rPr>
              </w:pPr>
              <w:r>
                <w:rPr>
                  <w:rFonts w:ascii="Arial Gras" w:hAnsi="Arial Gras" w:cs="Arial"/>
                  <w:b/>
                  <w:bCs/>
                  <w:color w:val="122255"/>
                  <w:sz w:val="16"/>
                </w:rPr>
                <w:t>septembre 2017</w:t>
              </w:r>
              <w:r w:rsidR="005A69FD" w:rsidRPr="00347E10">
                <w:rPr>
                  <w:rFonts w:ascii="Arial Gras" w:hAnsi="Arial Gras" w:cs="Arial"/>
                  <w:b/>
                  <w:bCs/>
                  <w:color w:val="122255"/>
                  <w:sz w:val="16"/>
                </w:rPr>
                <w:t xml:space="preserve"> </w:t>
              </w:r>
              <w:r w:rsidR="00C3179B" w:rsidRPr="00347E10">
                <w:rPr>
                  <w:rFonts w:ascii="Arial Gras" w:hAnsi="Arial Gras" w:cs="Arial"/>
                  <w:b/>
                  <w:color w:val="122255"/>
                  <w:sz w:val="16"/>
                </w:rPr>
                <w:t>© DG Trésor</w:t>
              </w:r>
            </w:p>
            <w:p w14:paraId="623027B4" w14:textId="3033FC8F" w:rsidR="005A69FD" w:rsidRPr="00347E10" w:rsidRDefault="005A69FD" w:rsidP="005A69FD">
              <w:pPr>
                <w:rPr>
                  <w:color w:val="122255"/>
                  <w:sz w:val="18"/>
                  <w:szCs w:val="18"/>
                </w:rPr>
              </w:pPr>
            </w:p>
          </w:tc>
          <w:tc>
            <w:tcPr>
              <w:tcW w:w="5040" w:type="dxa"/>
            </w:tcPr>
            <w:p w14:paraId="6C701CA6" w14:textId="77777777" w:rsidR="00803591" w:rsidRPr="00347E10" w:rsidRDefault="00803591" w:rsidP="00D26110">
              <w:pPr>
                <w:spacing w:before="120"/>
                <w:ind w:left="-108" w:firstLine="108"/>
                <w:jc w:val="center"/>
                <w:rPr>
                  <w:b/>
                  <w:color w:val="122255"/>
                  <w:sz w:val="18"/>
                  <w:szCs w:val="18"/>
                </w:rPr>
              </w:pPr>
              <w:r w:rsidRPr="00347E10">
                <w:rPr>
                  <w:b/>
                  <w:color w:val="122255"/>
                  <w:sz w:val="18"/>
                  <w:szCs w:val="18"/>
                </w:rPr>
                <w:t xml:space="preserve">AMBASSADE DE FRANCE </w:t>
              </w:r>
              <w:r w:rsidR="002D6BD9">
                <w:rPr>
                  <w:b/>
                  <w:color w:val="122255"/>
                  <w:sz w:val="18"/>
                  <w:szCs w:val="18"/>
                </w:rPr>
                <w:t>EN TUNISIE</w:t>
              </w:r>
            </w:p>
            <w:p w14:paraId="2407FA9A" w14:textId="6DF458FE" w:rsidR="005A69FD" w:rsidRDefault="002D6BD9" w:rsidP="00803591">
              <w:pPr>
                <w:jc w:val="center"/>
                <w:rPr>
                  <w:b/>
                  <w:color w:val="122255"/>
                  <w:sz w:val="18"/>
                  <w:szCs w:val="18"/>
                </w:rPr>
              </w:pPr>
              <w:r>
                <w:rPr>
                  <w:b/>
                  <w:color w:val="122255"/>
                  <w:sz w:val="18"/>
                  <w:szCs w:val="18"/>
                </w:rPr>
                <w:t>SERVICE ECONOMIQUE REGIONAL</w:t>
              </w:r>
            </w:p>
            <w:p w14:paraId="6125A7CE" w14:textId="77777777" w:rsidR="002611F0" w:rsidRPr="002611F0" w:rsidRDefault="002611F0" w:rsidP="00803591">
              <w:pPr>
                <w:jc w:val="center"/>
                <w:rPr>
                  <w:color w:val="122255"/>
                  <w:sz w:val="16"/>
                  <w:szCs w:val="16"/>
                </w:rPr>
              </w:pPr>
            </w:p>
          </w:tc>
          <w:tc>
            <w:tcPr>
              <w:tcW w:w="2331" w:type="dxa"/>
            </w:tcPr>
            <w:p w14:paraId="7CA37D13" w14:textId="77777777" w:rsidR="005A69FD" w:rsidRPr="00347E10" w:rsidRDefault="005A69FD" w:rsidP="00347E10">
              <w:pPr>
                <w:spacing w:before="120"/>
                <w:jc w:val="right"/>
                <w:rPr>
                  <w:b/>
                  <w:color w:val="122255"/>
                  <w:sz w:val="16"/>
                  <w:szCs w:val="16"/>
                </w:rPr>
              </w:pPr>
              <w:r w:rsidRPr="00347E10">
                <w:rPr>
                  <w:b/>
                  <w:color w:val="122255"/>
                  <w:sz w:val="16"/>
                  <w:szCs w:val="16"/>
                </w:rPr>
                <w:fldChar w:fldCharType="begin"/>
              </w:r>
              <w:r w:rsidRPr="00347E10">
                <w:rPr>
                  <w:b/>
                  <w:color w:val="122255"/>
                  <w:sz w:val="16"/>
                  <w:szCs w:val="16"/>
                </w:rPr>
                <w:instrText>PAGE   \* MERGEFORMAT</w:instrText>
              </w:r>
              <w:r w:rsidRPr="00347E10">
                <w:rPr>
                  <w:b/>
                  <w:color w:val="122255"/>
                  <w:sz w:val="16"/>
                  <w:szCs w:val="16"/>
                </w:rPr>
                <w:fldChar w:fldCharType="separate"/>
              </w:r>
              <w:r w:rsidR="00AA4181">
                <w:rPr>
                  <w:b/>
                  <w:noProof/>
                  <w:color w:val="122255"/>
                  <w:sz w:val="16"/>
                  <w:szCs w:val="16"/>
                </w:rPr>
                <w:t>2</w:t>
              </w:r>
              <w:r w:rsidRPr="00347E10">
                <w:rPr>
                  <w:b/>
                  <w:color w:val="122255"/>
                  <w:sz w:val="16"/>
                  <w:szCs w:val="16"/>
                </w:rPr>
                <w:fldChar w:fldCharType="end"/>
              </w:r>
            </w:p>
          </w:tc>
        </w:tr>
      </w:tbl>
      <w:p w14:paraId="1905C1B8" w14:textId="1938BAE5" w:rsidR="005A69FD" w:rsidRPr="005A69FD" w:rsidRDefault="00942060" w:rsidP="00942060">
        <w:pPr>
          <w:pStyle w:val="Pieddepage"/>
          <w:tabs>
            <w:tab w:val="clear" w:pos="4536"/>
            <w:tab w:val="clear" w:pos="9072"/>
            <w:tab w:val="left" w:pos="2327"/>
          </w:tabs>
          <w:rPr>
            <w:sz w:val="18"/>
            <w:szCs w:val="18"/>
          </w:rPr>
        </w:pPr>
        <w:r>
          <w:rPr>
            <w:sz w:val="18"/>
            <w:szCs w:val="18"/>
          </w:rPr>
          <w:tab/>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F0F14B" w14:textId="77777777" w:rsidR="00425979" w:rsidRDefault="00425979" w:rsidP="00F425DB">
      <w:pPr>
        <w:spacing w:after="0" w:line="240" w:lineRule="auto"/>
      </w:pPr>
      <w:r>
        <w:separator/>
      </w:r>
    </w:p>
  </w:footnote>
  <w:footnote w:type="continuationSeparator" w:id="0">
    <w:p w14:paraId="3123A85B" w14:textId="77777777" w:rsidR="00425979" w:rsidRDefault="00425979" w:rsidP="00F425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abstractNum w:abstractNumId="0" w15:restartNumberingAfterBreak="0">
    <w:nsid w:val="04671D7C"/>
    <w:multiLevelType w:val="hybridMultilevel"/>
    <w:tmpl w:val="0E82ED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FE74C7F"/>
    <w:multiLevelType w:val="hybridMultilevel"/>
    <w:tmpl w:val="49EC53E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30B3303"/>
    <w:multiLevelType w:val="multilevel"/>
    <w:tmpl w:val="71A2B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5F5AC9"/>
    <w:multiLevelType w:val="hybridMultilevel"/>
    <w:tmpl w:val="3DC4178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38E305A"/>
    <w:multiLevelType w:val="hybridMultilevel"/>
    <w:tmpl w:val="34702C72"/>
    <w:lvl w:ilvl="0" w:tplc="299A860E">
      <w:start w:val="21"/>
      <w:numFmt w:val="bullet"/>
      <w:lvlText w:val="-"/>
      <w:lvlJc w:val="left"/>
      <w:pPr>
        <w:ind w:left="720" w:hanging="360"/>
      </w:pPr>
      <w:rPr>
        <w:rFonts w:ascii="FuturaL" w:eastAsia="Calibri" w:hAnsi="FuturaL" w:cs="Times New Roman" w:hint="default"/>
        <w:color w:val="575758"/>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44C3028"/>
    <w:multiLevelType w:val="hybridMultilevel"/>
    <w:tmpl w:val="FA52BF4A"/>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6B525F9"/>
    <w:multiLevelType w:val="multilevel"/>
    <w:tmpl w:val="0CAEF0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335E99"/>
    <w:multiLevelType w:val="multilevel"/>
    <w:tmpl w:val="A9663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2"/>
      <w:lvlJc w:val="left"/>
      <w:pPr>
        <w:tabs>
          <w:tab w:val="num" w:pos="1440"/>
        </w:tabs>
        <w:ind w:left="1440" w:hanging="360"/>
      </w:pPr>
      <w:rPr>
        <w:rFonts w:ascii="Symbol" w:hAnsi="Symbol" w:hint="default"/>
        <w:sz w:val="20"/>
      </w:rPr>
    </w:lvl>
    <w:lvl w:ilvl="2" w:tentative="1">
      <w:start w:val="1"/>
      <w:numFmt w:val="bullet"/>
      <w:lvlText w:val=""/>
      <w:lvlPicBulletId w:val="3"/>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D21A75"/>
    <w:multiLevelType w:val="multilevel"/>
    <w:tmpl w:val="5568F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C8275F"/>
    <w:multiLevelType w:val="multilevel"/>
    <w:tmpl w:val="36F49918"/>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CA83DE7"/>
    <w:multiLevelType w:val="multilevel"/>
    <w:tmpl w:val="2A30D44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26B5539"/>
    <w:multiLevelType w:val="multilevel"/>
    <w:tmpl w:val="48D478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A722E9"/>
    <w:multiLevelType w:val="multilevel"/>
    <w:tmpl w:val="131C62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41576C5"/>
    <w:multiLevelType w:val="multilevel"/>
    <w:tmpl w:val="7F7C4DA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5392DAE"/>
    <w:multiLevelType w:val="multilevel"/>
    <w:tmpl w:val="6FEE7E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AB52E5"/>
    <w:multiLevelType w:val="multilevel"/>
    <w:tmpl w:val="BF3298E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eastAsia="Times New Roman" w:hint="default"/>
        <w:b/>
        <w:i w:val="0"/>
      </w:rPr>
    </w:lvl>
    <w:lvl w:ilvl="2">
      <w:start w:val="1"/>
      <w:numFmt w:val="decimal"/>
      <w:isLgl/>
      <w:lvlText w:val="%1.%2.%3."/>
      <w:lvlJc w:val="left"/>
      <w:pPr>
        <w:ind w:left="1080" w:hanging="720"/>
      </w:pPr>
      <w:rPr>
        <w:rFonts w:eastAsia="Times New Roman" w:hint="default"/>
        <w:b/>
        <w:i w:val="0"/>
      </w:rPr>
    </w:lvl>
    <w:lvl w:ilvl="3">
      <w:start w:val="1"/>
      <w:numFmt w:val="decimal"/>
      <w:isLgl/>
      <w:lvlText w:val="%1.%2.%3.%4."/>
      <w:lvlJc w:val="left"/>
      <w:pPr>
        <w:ind w:left="1080" w:hanging="720"/>
      </w:pPr>
      <w:rPr>
        <w:rFonts w:eastAsia="Times New Roman" w:hint="default"/>
        <w:b/>
        <w:i w:val="0"/>
      </w:rPr>
    </w:lvl>
    <w:lvl w:ilvl="4">
      <w:start w:val="1"/>
      <w:numFmt w:val="decimal"/>
      <w:isLgl/>
      <w:lvlText w:val="%1.%2.%3.%4.%5."/>
      <w:lvlJc w:val="left"/>
      <w:pPr>
        <w:ind w:left="1440" w:hanging="1080"/>
      </w:pPr>
      <w:rPr>
        <w:rFonts w:eastAsia="Times New Roman" w:hint="default"/>
        <w:b/>
        <w:i w:val="0"/>
      </w:rPr>
    </w:lvl>
    <w:lvl w:ilvl="5">
      <w:start w:val="1"/>
      <w:numFmt w:val="decimal"/>
      <w:isLgl/>
      <w:lvlText w:val="%1.%2.%3.%4.%5.%6."/>
      <w:lvlJc w:val="left"/>
      <w:pPr>
        <w:ind w:left="1440" w:hanging="1080"/>
      </w:pPr>
      <w:rPr>
        <w:rFonts w:eastAsia="Times New Roman" w:hint="default"/>
        <w:b/>
        <w:i w:val="0"/>
      </w:rPr>
    </w:lvl>
    <w:lvl w:ilvl="6">
      <w:start w:val="1"/>
      <w:numFmt w:val="decimal"/>
      <w:isLgl/>
      <w:lvlText w:val="%1.%2.%3.%4.%5.%6.%7."/>
      <w:lvlJc w:val="left"/>
      <w:pPr>
        <w:ind w:left="1800" w:hanging="1440"/>
      </w:pPr>
      <w:rPr>
        <w:rFonts w:eastAsia="Times New Roman" w:hint="default"/>
        <w:b/>
        <w:i w:val="0"/>
      </w:rPr>
    </w:lvl>
    <w:lvl w:ilvl="7">
      <w:start w:val="1"/>
      <w:numFmt w:val="decimal"/>
      <w:isLgl/>
      <w:lvlText w:val="%1.%2.%3.%4.%5.%6.%7.%8."/>
      <w:lvlJc w:val="left"/>
      <w:pPr>
        <w:ind w:left="1800" w:hanging="1440"/>
      </w:pPr>
      <w:rPr>
        <w:rFonts w:eastAsia="Times New Roman" w:hint="default"/>
        <w:b/>
        <w:i w:val="0"/>
      </w:rPr>
    </w:lvl>
    <w:lvl w:ilvl="8">
      <w:start w:val="1"/>
      <w:numFmt w:val="decimal"/>
      <w:isLgl/>
      <w:lvlText w:val="%1.%2.%3.%4.%5.%6.%7.%8.%9."/>
      <w:lvlJc w:val="left"/>
      <w:pPr>
        <w:ind w:left="2160" w:hanging="1800"/>
      </w:pPr>
      <w:rPr>
        <w:rFonts w:eastAsia="Times New Roman" w:hint="default"/>
        <w:b/>
        <w:i w:val="0"/>
      </w:rPr>
    </w:lvl>
  </w:abstractNum>
  <w:abstractNum w:abstractNumId="16" w15:restartNumberingAfterBreak="0">
    <w:nsid w:val="69D311A4"/>
    <w:multiLevelType w:val="hybridMultilevel"/>
    <w:tmpl w:val="00FC148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74CF0029"/>
    <w:multiLevelType w:val="hybridMultilevel"/>
    <w:tmpl w:val="43380B02"/>
    <w:lvl w:ilvl="0" w:tplc="BAEEE6B4">
      <w:start w:val="1"/>
      <w:numFmt w:val="upperRoman"/>
      <w:lvlText w:val="%1."/>
      <w:lvlJc w:val="left"/>
      <w:pPr>
        <w:ind w:left="1080" w:hanging="72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A22307A"/>
    <w:multiLevelType w:val="hybridMultilevel"/>
    <w:tmpl w:val="817CF068"/>
    <w:lvl w:ilvl="0" w:tplc="9880FD1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C0C289B"/>
    <w:multiLevelType w:val="multilevel"/>
    <w:tmpl w:val="213C5A60"/>
    <w:lvl w:ilvl="0">
      <w:start w:val="1"/>
      <w:numFmt w:val="decimal"/>
      <w:lvlText w:val="%1."/>
      <w:lvlJc w:val="left"/>
      <w:pPr>
        <w:ind w:left="360" w:hanging="360"/>
      </w:pPr>
      <w:rPr>
        <w:rFonts w:hint="default"/>
        <w:i w:val="0"/>
        <w:u w:val="single"/>
      </w:rPr>
    </w:lvl>
    <w:lvl w:ilvl="1">
      <w:start w:val="1"/>
      <w:numFmt w:val="decimal"/>
      <w:lvlText w:val="%1.%2."/>
      <w:lvlJc w:val="left"/>
      <w:pPr>
        <w:ind w:left="720" w:hanging="720"/>
      </w:pPr>
      <w:rPr>
        <w:rFonts w:hint="default"/>
        <w:i/>
        <w:u w:val="none"/>
      </w:rPr>
    </w:lvl>
    <w:lvl w:ilvl="2">
      <w:start w:val="1"/>
      <w:numFmt w:val="decimal"/>
      <w:lvlText w:val="%1.%2.%3."/>
      <w:lvlJc w:val="left"/>
      <w:pPr>
        <w:ind w:left="720" w:hanging="720"/>
      </w:pPr>
      <w:rPr>
        <w:rFonts w:hint="default"/>
        <w:i w:val="0"/>
        <w:u w:val="single"/>
      </w:rPr>
    </w:lvl>
    <w:lvl w:ilvl="3">
      <w:start w:val="1"/>
      <w:numFmt w:val="decimal"/>
      <w:lvlText w:val="%1.%2.%3.%4."/>
      <w:lvlJc w:val="left"/>
      <w:pPr>
        <w:ind w:left="1080" w:hanging="1080"/>
      </w:pPr>
      <w:rPr>
        <w:rFonts w:hint="default"/>
        <w:i w:val="0"/>
        <w:u w:val="single"/>
      </w:rPr>
    </w:lvl>
    <w:lvl w:ilvl="4">
      <w:start w:val="1"/>
      <w:numFmt w:val="decimal"/>
      <w:lvlText w:val="%1.%2.%3.%4.%5."/>
      <w:lvlJc w:val="left"/>
      <w:pPr>
        <w:ind w:left="1080" w:hanging="1080"/>
      </w:pPr>
      <w:rPr>
        <w:rFonts w:hint="default"/>
        <w:i w:val="0"/>
        <w:u w:val="single"/>
      </w:rPr>
    </w:lvl>
    <w:lvl w:ilvl="5">
      <w:start w:val="1"/>
      <w:numFmt w:val="decimal"/>
      <w:lvlText w:val="%1.%2.%3.%4.%5.%6."/>
      <w:lvlJc w:val="left"/>
      <w:pPr>
        <w:ind w:left="1440" w:hanging="1440"/>
      </w:pPr>
      <w:rPr>
        <w:rFonts w:hint="default"/>
        <w:i w:val="0"/>
        <w:u w:val="single"/>
      </w:rPr>
    </w:lvl>
    <w:lvl w:ilvl="6">
      <w:start w:val="1"/>
      <w:numFmt w:val="decimal"/>
      <w:lvlText w:val="%1.%2.%3.%4.%5.%6.%7."/>
      <w:lvlJc w:val="left"/>
      <w:pPr>
        <w:ind w:left="1440" w:hanging="1440"/>
      </w:pPr>
      <w:rPr>
        <w:rFonts w:hint="default"/>
        <w:i w:val="0"/>
        <w:u w:val="single"/>
      </w:rPr>
    </w:lvl>
    <w:lvl w:ilvl="7">
      <w:start w:val="1"/>
      <w:numFmt w:val="decimal"/>
      <w:lvlText w:val="%1.%2.%3.%4.%5.%6.%7.%8."/>
      <w:lvlJc w:val="left"/>
      <w:pPr>
        <w:ind w:left="1800" w:hanging="1800"/>
      </w:pPr>
      <w:rPr>
        <w:rFonts w:hint="default"/>
        <w:i w:val="0"/>
        <w:u w:val="single"/>
      </w:rPr>
    </w:lvl>
    <w:lvl w:ilvl="8">
      <w:start w:val="1"/>
      <w:numFmt w:val="decimal"/>
      <w:lvlText w:val="%1.%2.%3.%4.%5.%6.%7.%8.%9."/>
      <w:lvlJc w:val="left"/>
      <w:pPr>
        <w:ind w:left="1800" w:hanging="1800"/>
      </w:pPr>
      <w:rPr>
        <w:rFonts w:hint="default"/>
        <w:i w:val="0"/>
        <w:u w:val="single"/>
      </w:rPr>
    </w:lvl>
  </w:abstractNum>
  <w:abstractNum w:abstractNumId="20" w15:restartNumberingAfterBreak="0">
    <w:nsid w:val="7DB27446"/>
    <w:multiLevelType w:val="multilevel"/>
    <w:tmpl w:val="C1FA0D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2"/>
  </w:num>
  <w:num w:numId="3">
    <w:abstractNumId w:val="13"/>
  </w:num>
  <w:num w:numId="4">
    <w:abstractNumId w:val="2"/>
  </w:num>
  <w:num w:numId="5">
    <w:abstractNumId w:val="20"/>
  </w:num>
  <w:num w:numId="6">
    <w:abstractNumId w:val="7"/>
  </w:num>
  <w:num w:numId="7">
    <w:abstractNumId w:val="16"/>
  </w:num>
  <w:num w:numId="8">
    <w:abstractNumId w:val="0"/>
  </w:num>
  <w:num w:numId="9">
    <w:abstractNumId w:val="4"/>
  </w:num>
  <w:num w:numId="10">
    <w:abstractNumId w:val="6"/>
  </w:num>
  <w:num w:numId="11">
    <w:abstractNumId w:val="11"/>
  </w:num>
  <w:num w:numId="12">
    <w:abstractNumId w:val="14"/>
  </w:num>
  <w:num w:numId="13">
    <w:abstractNumId w:val="3"/>
  </w:num>
  <w:num w:numId="14">
    <w:abstractNumId w:val="15"/>
  </w:num>
  <w:num w:numId="15">
    <w:abstractNumId w:val="10"/>
  </w:num>
  <w:num w:numId="16">
    <w:abstractNumId w:val="9"/>
  </w:num>
  <w:num w:numId="17">
    <w:abstractNumId w:val="19"/>
  </w:num>
  <w:num w:numId="18">
    <w:abstractNumId w:val="17"/>
  </w:num>
  <w:num w:numId="19">
    <w:abstractNumId w:val="18"/>
  </w:num>
  <w:num w:numId="20">
    <w:abstractNumId w:val="5"/>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409"/>
    <w:rsid w:val="000165CC"/>
    <w:rsid w:val="000207D3"/>
    <w:rsid w:val="00054CDE"/>
    <w:rsid w:val="000652F9"/>
    <w:rsid w:val="00067894"/>
    <w:rsid w:val="000764B1"/>
    <w:rsid w:val="0007713D"/>
    <w:rsid w:val="00086949"/>
    <w:rsid w:val="000A0363"/>
    <w:rsid w:val="000B5DAE"/>
    <w:rsid w:val="000C52B6"/>
    <w:rsid w:val="000D16BE"/>
    <w:rsid w:val="000D5D1A"/>
    <w:rsid w:val="000E103B"/>
    <w:rsid w:val="000E580F"/>
    <w:rsid w:val="000F0B51"/>
    <w:rsid w:val="00102B63"/>
    <w:rsid w:val="001506E5"/>
    <w:rsid w:val="0015600B"/>
    <w:rsid w:val="00175749"/>
    <w:rsid w:val="00177197"/>
    <w:rsid w:val="00196391"/>
    <w:rsid w:val="001A137F"/>
    <w:rsid w:val="001B286A"/>
    <w:rsid w:val="001B451E"/>
    <w:rsid w:val="001C0F89"/>
    <w:rsid w:val="001C168A"/>
    <w:rsid w:val="001D494F"/>
    <w:rsid w:val="002062EC"/>
    <w:rsid w:val="0021111A"/>
    <w:rsid w:val="00216A0E"/>
    <w:rsid w:val="00227D0A"/>
    <w:rsid w:val="0023311E"/>
    <w:rsid w:val="0024314F"/>
    <w:rsid w:val="00256A40"/>
    <w:rsid w:val="00256EE1"/>
    <w:rsid w:val="002611F0"/>
    <w:rsid w:val="0028770B"/>
    <w:rsid w:val="002A008A"/>
    <w:rsid w:val="002A2D9B"/>
    <w:rsid w:val="002A58ED"/>
    <w:rsid w:val="002B62EC"/>
    <w:rsid w:val="002C034E"/>
    <w:rsid w:val="002C1015"/>
    <w:rsid w:val="002C7B53"/>
    <w:rsid w:val="002D2DC2"/>
    <w:rsid w:val="002D4479"/>
    <w:rsid w:val="002D6BD9"/>
    <w:rsid w:val="002E3887"/>
    <w:rsid w:val="002E6781"/>
    <w:rsid w:val="002F0CD4"/>
    <w:rsid w:val="00316A01"/>
    <w:rsid w:val="00332F60"/>
    <w:rsid w:val="003425B6"/>
    <w:rsid w:val="00347E10"/>
    <w:rsid w:val="00354160"/>
    <w:rsid w:val="00354ED8"/>
    <w:rsid w:val="00364ADB"/>
    <w:rsid w:val="0037291F"/>
    <w:rsid w:val="0037395A"/>
    <w:rsid w:val="00383A7F"/>
    <w:rsid w:val="003849B7"/>
    <w:rsid w:val="003B3388"/>
    <w:rsid w:val="003C0610"/>
    <w:rsid w:val="003D1901"/>
    <w:rsid w:val="003D38B4"/>
    <w:rsid w:val="004043E7"/>
    <w:rsid w:val="00412619"/>
    <w:rsid w:val="00413B0F"/>
    <w:rsid w:val="00416D7D"/>
    <w:rsid w:val="00425979"/>
    <w:rsid w:val="00427381"/>
    <w:rsid w:val="00436D0C"/>
    <w:rsid w:val="004407CA"/>
    <w:rsid w:val="004468D5"/>
    <w:rsid w:val="004543BF"/>
    <w:rsid w:val="00462939"/>
    <w:rsid w:val="00471F28"/>
    <w:rsid w:val="004873EE"/>
    <w:rsid w:val="004A11B4"/>
    <w:rsid w:val="004A63ED"/>
    <w:rsid w:val="004C0132"/>
    <w:rsid w:val="004C458A"/>
    <w:rsid w:val="004D7E73"/>
    <w:rsid w:val="004E23B4"/>
    <w:rsid w:val="004E68D5"/>
    <w:rsid w:val="004E6A6F"/>
    <w:rsid w:val="004F662C"/>
    <w:rsid w:val="00523AEF"/>
    <w:rsid w:val="0053158E"/>
    <w:rsid w:val="0054195C"/>
    <w:rsid w:val="005507A9"/>
    <w:rsid w:val="0056683C"/>
    <w:rsid w:val="005A0290"/>
    <w:rsid w:val="005A69FD"/>
    <w:rsid w:val="005B2229"/>
    <w:rsid w:val="005E2702"/>
    <w:rsid w:val="005F21AC"/>
    <w:rsid w:val="005F3CE5"/>
    <w:rsid w:val="00611F09"/>
    <w:rsid w:val="00621FAE"/>
    <w:rsid w:val="00635863"/>
    <w:rsid w:val="006528B5"/>
    <w:rsid w:val="00671551"/>
    <w:rsid w:val="006A6A13"/>
    <w:rsid w:val="006B0183"/>
    <w:rsid w:val="006B118B"/>
    <w:rsid w:val="006B3702"/>
    <w:rsid w:val="006B4164"/>
    <w:rsid w:val="006B5CB2"/>
    <w:rsid w:val="006C4105"/>
    <w:rsid w:val="006C77C3"/>
    <w:rsid w:val="006D72C7"/>
    <w:rsid w:val="006E0409"/>
    <w:rsid w:val="006E169B"/>
    <w:rsid w:val="006F11E9"/>
    <w:rsid w:val="00700122"/>
    <w:rsid w:val="0070416D"/>
    <w:rsid w:val="007133F8"/>
    <w:rsid w:val="00725CDF"/>
    <w:rsid w:val="00733A17"/>
    <w:rsid w:val="00736551"/>
    <w:rsid w:val="007450BB"/>
    <w:rsid w:val="0079420B"/>
    <w:rsid w:val="007B42E4"/>
    <w:rsid w:val="007D1F97"/>
    <w:rsid w:val="007E1114"/>
    <w:rsid w:val="007E5AE4"/>
    <w:rsid w:val="007F0323"/>
    <w:rsid w:val="007F12B8"/>
    <w:rsid w:val="007F1945"/>
    <w:rsid w:val="00803591"/>
    <w:rsid w:val="00803870"/>
    <w:rsid w:val="00803B0F"/>
    <w:rsid w:val="00814CB7"/>
    <w:rsid w:val="008410A2"/>
    <w:rsid w:val="00863DDC"/>
    <w:rsid w:val="00864336"/>
    <w:rsid w:val="008658D0"/>
    <w:rsid w:val="00871D21"/>
    <w:rsid w:val="00872C3B"/>
    <w:rsid w:val="008736AA"/>
    <w:rsid w:val="008761A1"/>
    <w:rsid w:val="00884568"/>
    <w:rsid w:val="008C2251"/>
    <w:rsid w:val="008D58D1"/>
    <w:rsid w:val="008E4F4A"/>
    <w:rsid w:val="00901BA9"/>
    <w:rsid w:val="00924E05"/>
    <w:rsid w:val="00926398"/>
    <w:rsid w:val="00926E7C"/>
    <w:rsid w:val="00931BCE"/>
    <w:rsid w:val="00942060"/>
    <w:rsid w:val="00950C61"/>
    <w:rsid w:val="009557C3"/>
    <w:rsid w:val="00955C1F"/>
    <w:rsid w:val="009564AA"/>
    <w:rsid w:val="0096234D"/>
    <w:rsid w:val="0098635D"/>
    <w:rsid w:val="009873F4"/>
    <w:rsid w:val="009917E4"/>
    <w:rsid w:val="009A16A6"/>
    <w:rsid w:val="009A53AA"/>
    <w:rsid w:val="009A65E7"/>
    <w:rsid w:val="009C2C71"/>
    <w:rsid w:val="009D11A4"/>
    <w:rsid w:val="009D483E"/>
    <w:rsid w:val="009F7C9F"/>
    <w:rsid w:val="00A02D67"/>
    <w:rsid w:val="00A0718C"/>
    <w:rsid w:val="00A23AD5"/>
    <w:rsid w:val="00A25FC8"/>
    <w:rsid w:val="00A30C57"/>
    <w:rsid w:val="00A3566D"/>
    <w:rsid w:val="00A47DCC"/>
    <w:rsid w:val="00A626A2"/>
    <w:rsid w:val="00A72588"/>
    <w:rsid w:val="00A72D34"/>
    <w:rsid w:val="00A87A0B"/>
    <w:rsid w:val="00A92E63"/>
    <w:rsid w:val="00A95E79"/>
    <w:rsid w:val="00AA0B01"/>
    <w:rsid w:val="00AA4181"/>
    <w:rsid w:val="00AA6495"/>
    <w:rsid w:val="00AB70B6"/>
    <w:rsid w:val="00AD18FE"/>
    <w:rsid w:val="00AE44BA"/>
    <w:rsid w:val="00B1092E"/>
    <w:rsid w:val="00B17663"/>
    <w:rsid w:val="00B209AC"/>
    <w:rsid w:val="00B26315"/>
    <w:rsid w:val="00B3539C"/>
    <w:rsid w:val="00B374C6"/>
    <w:rsid w:val="00B5662B"/>
    <w:rsid w:val="00B67BDA"/>
    <w:rsid w:val="00B741DC"/>
    <w:rsid w:val="00B77AE1"/>
    <w:rsid w:val="00B829FF"/>
    <w:rsid w:val="00B97C3F"/>
    <w:rsid w:val="00BB65E4"/>
    <w:rsid w:val="00BE4C3D"/>
    <w:rsid w:val="00BF79A7"/>
    <w:rsid w:val="00C044B6"/>
    <w:rsid w:val="00C05F7B"/>
    <w:rsid w:val="00C108AB"/>
    <w:rsid w:val="00C26BD2"/>
    <w:rsid w:val="00C3179B"/>
    <w:rsid w:val="00C37EFC"/>
    <w:rsid w:val="00C4094A"/>
    <w:rsid w:val="00C64D1F"/>
    <w:rsid w:val="00C929D3"/>
    <w:rsid w:val="00CA2091"/>
    <w:rsid w:val="00CB29AE"/>
    <w:rsid w:val="00CB3FC6"/>
    <w:rsid w:val="00CC4E9F"/>
    <w:rsid w:val="00CE2A86"/>
    <w:rsid w:val="00D050D6"/>
    <w:rsid w:val="00D11CE8"/>
    <w:rsid w:val="00D26110"/>
    <w:rsid w:val="00D31546"/>
    <w:rsid w:val="00D35449"/>
    <w:rsid w:val="00D420C4"/>
    <w:rsid w:val="00D443AD"/>
    <w:rsid w:val="00D4689D"/>
    <w:rsid w:val="00D64488"/>
    <w:rsid w:val="00D709E0"/>
    <w:rsid w:val="00D71314"/>
    <w:rsid w:val="00D725F4"/>
    <w:rsid w:val="00D86D29"/>
    <w:rsid w:val="00D9689C"/>
    <w:rsid w:val="00DA10D3"/>
    <w:rsid w:val="00DB2BFA"/>
    <w:rsid w:val="00DC20F4"/>
    <w:rsid w:val="00DC2B66"/>
    <w:rsid w:val="00DC30FB"/>
    <w:rsid w:val="00DE7C38"/>
    <w:rsid w:val="00E20810"/>
    <w:rsid w:val="00E25523"/>
    <w:rsid w:val="00E25C09"/>
    <w:rsid w:val="00E26282"/>
    <w:rsid w:val="00E33A0C"/>
    <w:rsid w:val="00E64AFD"/>
    <w:rsid w:val="00E76811"/>
    <w:rsid w:val="00E76C44"/>
    <w:rsid w:val="00E77EA9"/>
    <w:rsid w:val="00E8216F"/>
    <w:rsid w:val="00E87DF6"/>
    <w:rsid w:val="00E91989"/>
    <w:rsid w:val="00E925A7"/>
    <w:rsid w:val="00E974EE"/>
    <w:rsid w:val="00EB6483"/>
    <w:rsid w:val="00EC7DDD"/>
    <w:rsid w:val="00EE32D2"/>
    <w:rsid w:val="00EE57C5"/>
    <w:rsid w:val="00EF7B71"/>
    <w:rsid w:val="00F21E23"/>
    <w:rsid w:val="00F24033"/>
    <w:rsid w:val="00F305ED"/>
    <w:rsid w:val="00F35B32"/>
    <w:rsid w:val="00F4135F"/>
    <w:rsid w:val="00F4165E"/>
    <w:rsid w:val="00F425DB"/>
    <w:rsid w:val="00F467F7"/>
    <w:rsid w:val="00F5085B"/>
    <w:rsid w:val="00F547B7"/>
    <w:rsid w:val="00F5747A"/>
    <w:rsid w:val="00F83625"/>
    <w:rsid w:val="00F90074"/>
    <w:rsid w:val="00F93083"/>
    <w:rsid w:val="00F951C1"/>
    <w:rsid w:val="00FA6183"/>
    <w:rsid w:val="00FA72FB"/>
    <w:rsid w:val="00FB65C1"/>
    <w:rsid w:val="00FB7964"/>
    <w:rsid w:val="00FD47F5"/>
    <w:rsid w:val="00FE4E06"/>
    <w:rsid w:val="00FE582A"/>
    <w:rsid w:val="00FF008B"/>
    <w:rsid w:val="00FF0EA3"/>
    <w:rsid w:val="00FF6E2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C09FDF"/>
  <w15:docId w15:val="{E002F3CC-CB19-4E82-A245-935EF1448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20C4"/>
    <w:rPr>
      <w:rFonts w:ascii="Arial" w:hAnsi="Arial"/>
      <w:sz w:val="20"/>
    </w:rPr>
  </w:style>
  <w:style w:type="paragraph" w:styleId="Titre1">
    <w:name w:val="heading 1"/>
    <w:basedOn w:val="Normal"/>
    <w:next w:val="Normal"/>
    <w:link w:val="Titre1Car"/>
    <w:uiPriority w:val="9"/>
    <w:qFormat/>
    <w:rsid w:val="00347E10"/>
    <w:pPr>
      <w:keepNext/>
      <w:keepLines/>
      <w:pBdr>
        <w:bottom w:val="single" w:sz="8" w:space="1" w:color="002060"/>
      </w:pBdr>
      <w:spacing w:before="600" w:after="120"/>
      <w:outlineLvl w:val="0"/>
    </w:pPr>
    <w:rPr>
      <w:rFonts w:eastAsiaTheme="majorEastAsia" w:cstheme="majorBidi"/>
      <w:b/>
      <w:bCs/>
      <w:color w:val="122255"/>
      <w:sz w:val="32"/>
      <w:szCs w:val="28"/>
    </w:rPr>
  </w:style>
  <w:style w:type="paragraph" w:styleId="Titre2">
    <w:name w:val="heading 2"/>
    <w:basedOn w:val="Normal"/>
    <w:next w:val="Normal"/>
    <w:link w:val="Titre2Car"/>
    <w:uiPriority w:val="9"/>
    <w:unhideWhenUsed/>
    <w:qFormat/>
    <w:rsid w:val="00347E10"/>
    <w:pPr>
      <w:keepNext/>
      <w:keepLines/>
      <w:pBdr>
        <w:bottom w:val="single" w:sz="8" w:space="1" w:color="002060"/>
      </w:pBdr>
      <w:spacing w:before="200" w:after="0"/>
      <w:outlineLvl w:val="1"/>
    </w:pPr>
    <w:rPr>
      <w:rFonts w:eastAsiaTheme="majorEastAsia" w:cstheme="majorBidi"/>
      <w:b/>
      <w:bCs/>
      <w:color w:val="122255"/>
      <w:sz w:val="28"/>
      <w:szCs w:val="26"/>
    </w:rPr>
  </w:style>
  <w:style w:type="paragraph" w:styleId="Titre3">
    <w:name w:val="heading 3"/>
    <w:basedOn w:val="Normal"/>
    <w:next w:val="Normal"/>
    <w:link w:val="Titre3Car"/>
    <w:uiPriority w:val="9"/>
    <w:unhideWhenUsed/>
    <w:qFormat/>
    <w:rsid w:val="00347E10"/>
    <w:pPr>
      <w:keepNext/>
      <w:keepLines/>
      <w:pBdr>
        <w:bottom w:val="single" w:sz="8" w:space="1" w:color="002060"/>
      </w:pBdr>
      <w:spacing w:before="200" w:after="120"/>
      <w:outlineLvl w:val="2"/>
    </w:pPr>
    <w:rPr>
      <w:rFonts w:eastAsiaTheme="majorEastAsia" w:cstheme="majorBidi"/>
      <w:b/>
      <w:bCs/>
      <w:color w:val="122255"/>
      <w:sz w:val="24"/>
    </w:rPr>
  </w:style>
  <w:style w:type="paragraph" w:styleId="Titre4">
    <w:name w:val="heading 4"/>
    <w:aliases w:val="Texte résumé"/>
    <w:basedOn w:val="Normal"/>
    <w:next w:val="Normal"/>
    <w:link w:val="Titre4Car"/>
    <w:uiPriority w:val="9"/>
    <w:unhideWhenUsed/>
    <w:qFormat/>
    <w:rsid w:val="00DB2BFA"/>
    <w:pPr>
      <w:keepNext/>
      <w:keepLines/>
      <w:pBdr>
        <w:top w:val="single" w:sz="8" w:space="1" w:color="122255"/>
        <w:left w:val="single" w:sz="8" w:space="4" w:color="122255"/>
        <w:bottom w:val="single" w:sz="8" w:space="1" w:color="122255"/>
        <w:right w:val="single" w:sz="8" w:space="4" w:color="122255"/>
      </w:pBdr>
      <w:spacing w:before="120" w:after="120"/>
      <w:jc w:val="both"/>
      <w:outlineLvl w:val="3"/>
    </w:pPr>
    <w:rPr>
      <w:rFonts w:eastAsiaTheme="majorEastAsia" w:cstheme="majorBidi"/>
      <w:bCs/>
      <w:iCs/>
    </w:rPr>
  </w:style>
  <w:style w:type="paragraph" w:styleId="Titre5">
    <w:name w:val="heading 5"/>
    <w:aliases w:val="Copyright"/>
    <w:basedOn w:val="Normal"/>
    <w:next w:val="Normal"/>
    <w:link w:val="Titre5Car"/>
    <w:uiPriority w:val="9"/>
    <w:unhideWhenUsed/>
    <w:qFormat/>
    <w:rsid w:val="004C458A"/>
    <w:pPr>
      <w:keepNext/>
      <w:keepLines/>
      <w:shd w:val="clear" w:color="auto" w:fill="E6A300"/>
      <w:spacing w:after="0"/>
      <w:jc w:val="both"/>
      <w:outlineLvl w:val="4"/>
    </w:pPr>
    <w:rPr>
      <w:rFonts w:eastAsiaTheme="majorEastAsia" w:cstheme="majorBidi"/>
      <w:sz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E0409"/>
    <w:rPr>
      <w:color w:val="0000FF"/>
      <w:u w:val="single"/>
    </w:rPr>
  </w:style>
  <w:style w:type="paragraph" w:styleId="Textedebulles">
    <w:name w:val="Balloon Text"/>
    <w:basedOn w:val="Normal"/>
    <w:link w:val="TextedebullesCar"/>
    <w:uiPriority w:val="99"/>
    <w:semiHidden/>
    <w:unhideWhenUsed/>
    <w:rsid w:val="006E040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E0409"/>
    <w:rPr>
      <w:rFonts w:ascii="Tahoma" w:hAnsi="Tahoma" w:cs="Tahoma"/>
      <w:sz w:val="16"/>
      <w:szCs w:val="16"/>
    </w:rPr>
  </w:style>
  <w:style w:type="paragraph" w:styleId="Titre">
    <w:name w:val="Title"/>
    <w:basedOn w:val="Normal"/>
    <w:next w:val="Normal"/>
    <w:link w:val="TitreCar"/>
    <w:uiPriority w:val="10"/>
    <w:qFormat/>
    <w:rsid w:val="00A626A2"/>
    <w:pPr>
      <w:pBdr>
        <w:top w:val="single" w:sz="12" w:space="1" w:color="E6A300"/>
        <w:bottom w:val="single" w:sz="12" w:space="1" w:color="E6A300"/>
      </w:pBdr>
      <w:shd w:val="clear" w:color="auto" w:fill="FFFFFF" w:themeFill="background1"/>
      <w:spacing w:after="300" w:line="240" w:lineRule="auto"/>
      <w:contextualSpacing/>
      <w:jc w:val="center"/>
    </w:pPr>
    <w:rPr>
      <w:rFonts w:eastAsiaTheme="majorEastAsia" w:cstheme="majorBidi"/>
      <w:color w:val="122255"/>
      <w:spacing w:val="5"/>
      <w:kern w:val="28"/>
      <w:sz w:val="52"/>
      <w:szCs w:val="52"/>
    </w:rPr>
  </w:style>
  <w:style w:type="character" w:customStyle="1" w:styleId="TitreCar">
    <w:name w:val="Titre Car"/>
    <w:basedOn w:val="Policepardfaut"/>
    <w:link w:val="Titre"/>
    <w:uiPriority w:val="10"/>
    <w:rsid w:val="00A626A2"/>
    <w:rPr>
      <w:rFonts w:ascii="Arial" w:eastAsiaTheme="majorEastAsia" w:hAnsi="Arial" w:cstheme="majorBidi"/>
      <w:color w:val="122255"/>
      <w:spacing w:val="5"/>
      <w:kern w:val="28"/>
      <w:sz w:val="52"/>
      <w:szCs w:val="52"/>
      <w:shd w:val="clear" w:color="auto" w:fill="FFFFFF" w:themeFill="background1"/>
    </w:rPr>
  </w:style>
  <w:style w:type="character" w:customStyle="1" w:styleId="Titre2Car">
    <w:name w:val="Titre 2 Car"/>
    <w:basedOn w:val="Policepardfaut"/>
    <w:link w:val="Titre2"/>
    <w:uiPriority w:val="9"/>
    <w:rsid w:val="00347E10"/>
    <w:rPr>
      <w:rFonts w:ascii="Arial" w:eastAsiaTheme="majorEastAsia" w:hAnsi="Arial" w:cstheme="majorBidi"/>
      <w:b/>
      <w:bCs/>
      <w:color w:val="122255"/>
      <w:sz w:val="28"/>
      <w:szCs w:val="26"/>
    </w:rPr>
  </w:style>
  <w:style w:type="paragraph" w:styleId="En-tte">
    <w:name w:val="header"/>
    <w:basedOn w:val="Normal"/>
    <w:link w:val="En-tteCar"/>
    <w:uiPriority w:val="99"/>
    <w:unhideWhenUsed/>
    <w:rsid w:val="00F425DB"/>
    <w:pPr>
      <w:tabs>
        <w:tab w:val="center" w:pos="4536"/>
        <w:tab w:val="right" w:pos="9072"/>
      </w:tabs>
      <w:spacing w:after="0" w:line="240" w:lineRule="auto"/>
    </w:pPr>
  </w:style>
  <w:style w:type="character" w:customStyle="1" w:styleId="En-tteCar">
    <w:name w:val="En-tête Car"/>
    <w:basedOn w:val="Policepardfaut"/>
    <w:link w:val="En-tte"/>
    <w:uiPriority w:val="99"/>
    <w:rsid w:val="00F425DB"/>
  </w:style>
  <w:style w:type="paragraph" w:styleId="Pieddepage">
    <w:name w:val="footer"/>
    <w:basedOn w:val="Normal"/>
    <w:link w:val="PieddepageCar"/>
    <w:uiPriority w:val="99"/>
    <w:unhideWhenUsed/>
    <w:rsid w:val="00F425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425DB"/>
  </w:style>
  <w:style w:type="paragraph" w:styleId="Paragraphedeliste">
    <w:name w:val="List Paragraph"/>
    <w:basedOn w:val="Normal"/>
    <w:uiPriority w:val="34"/>
    <w:qFormat/>
    <w:rsid w:val="00926398"/>
    <w:pPr>
      <w:ind w:left="720"/>
      <w:contextualSpacing/>
    </w:pPr>
  </w:style>
  <w:style w:type="table" w:styleId="Grilledutableau">
    <w:name w:val="Table Grid"/>
    <w:basedOn w:val="TableauNormal"/>
    <w:uiPriority w:val="59"/>
    <w:rsid w:val="005A6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347E10"/>
    <w:rPr>
      <w:rFonts w:ascii="Arial" w:eastAsiaTheme="majorEastAsia" w:hAnsi="Arial" w:cstheme="majorBidi"/>
      <w:b/>
      <w:bCs/>
      <w:color w:val="122255"/>
      <w:sz w:val="24"/>
    </w:rPr>
  </w:style>
  <w:style w:type="character" w:customStyle="1" w:styleId="Titre1Car">
    <w:name w:val="Titre 1 Car"/>
    <w:basedOn w:val="Policepardfaut"/>
    <w:link w:val="Titre1"/>
    <w:uiPriority w:val="9"/>
    <w:rsid w:val="00347E10"/>
    <w:rPr>
      <w:rFonts w:ascii="Arial" w:eastAsiaTheme="majorEastAsia" w:hAnsi="Arial" w:cstheme="majorBidi"/>
      <w:b/>
      <w:bCs/>
      <w:color w:val="122255"/>
      <w:sz w:val="32"/>
      <w:szCs w:val="28"/>
    </w:rPr>
  </w:style>
  <w:style w:type="character" w:customStyle="1" w:styleId="Titre4Car">
    <w:name w:val="Titre 4 Car"/>
    <w:aliases w:val="Texte résumé Car"/>
    <w:basedOn w:val="Policepardfaut"/>
    <w:link w:val="Titre4"/>
    <w:uiPriority w:val="9"/>
    <w:rsid w:val="00DB2BFA"/>
    <w:rPr>
      <w:rFonts w:ascii="Arial" w:eastAsiaTheme="majorEastAsia" w:hAnsi="Arial" w:cstheme="majorBidi"/>
      <w:bCs/>
      <w:iCs/>
      <w:sz w:val="20"/>
    </w:rPr>
  </w:style>
  <w:style w:type="paragraph" w:styleId="Sous-titre">
    <w:name w:val="Subtitle"/>
    <w:basedOn w:val="Normal"/>
    <w:next w:val="Normal"/>
    <w:link w:val="Sous-titreCar"/>
    <w:uiPriority w:val="11"/>
    <w:qFormat/>
    <w:rsid w:val="00D4689D"/>
    <w:pPr>
      <w:numPr>
        <w:ilvl w:val="1"/>
      </w:numPr>
    </w:pPr>
    <w:rPr>
      <w:rFonts w:ascii="Times New Roman" w:eastAsiaTheme="majorEastAsia" w:hAnsi="Times New Roman" w:cstheme="majorBidi"/>
      <w:i/>
      <w:iCs/>
      <w:color w:val="0D0D0D" w:themeColor="text1" w:themeTint="F2"/>
      <w:spacing w:val="15"/>
      <w:sz w:val="24"/>
      <w:szCs w:val="24"/>
    </w:rPr>
  </w:style>
  <w:style w:type="character" w:customStyle="1" w:styleId="Sous-titreCar">
    <w:name w:val="Sous-titre Car"/>
    <w:basedOn w:val="Policepardfaut"/>
    <w:link w:val="Sous-titre"/>
    <w:uiPriority w:val="11"/>
    <w:rsid w:val="00D4689D"/>
    <w:rPr>
      <w:rFonts w:ascii="Times New Roman" w:eastAsiaTheme="majorEastAsia" w:hAnsi="Times New Roman" w:cstheme="majorBidi"/>
      <w:i/>
      <w:iCs/>
      <w:color w:val="0D0D0D" w:themeColor="text1" w:themeTint="F2"/>
      <w:spacing w:val="15"/>
      <w:sz w:val="24"/>
      <w:szCs w:val="24"/>
    </w:rPr>
  </w:style>
  <w:style w:type="character" w:customStyle="1" w:styleId="Titre5Car">
    <w:name w:val="Titre 5 Car"/>
    <w:aliases w:val="Copyright Car"/>
    <w:basedOn w:val="Policepardfaut"/>
    <w:link w:val="Titre5"/>
    <w:uiPriority w:val="9"/>
    <w:rsid w:val="004C458A"/>
    <w:rPr>
      <w:rFonts w:ascii="Arial" w:eastAsiaTheme="majorEastAsia" w:hAnsi="Arial" w:cstheme="majorBidi"/>
      <w:sz w:val="16"/>
      <w:shd w:val="clear" w:color="auto" w:fill="E6A300"/>
    </w:rPr>
  </w:style>
  <w:style w:type="paragraph" w:styleId="Notedebasdepage">
    <w:name w:val="footnote text"/>
    <w:basedOn w:val="Normal"/>
    <w:link w:val="NotedebasdepageCar"/>
    <w:uiPriority w:val="99"/>
    <w:semiHidden/>
    <w:rsid w:val="00067894"/>
    <w:pPr>
      <w:overflowPunct w:val="0"/>
      <w:autoSpaceDE w:val="0"/>
      <w:autoSpaceDN w:val="0"/>
      <w:adjustRightInd w:val="0"/>
      <w:spacing w:after="0" w:line="240" w:lineRule="auto"/>
      <w:jc w:val="both"/>
      <w:textAlignment w:val="baseline"/>
    </w:pPr>
    <w:rPr>
      <w:rFonts w:ascii="Times New Roman" w:eastAsia="Times New Roman" w:hAnsi="Times New Roman" w:cs="Arial"/>
      <w:sz w:val="24"/>
      <w:szCs w:val="20"/>
      <w:lang w:eastAsia="fr-FR"/>
    </w:rPr>
  </w:style>
  <w:style w:type="character" w:customStyle="1" w:styleId="NotedebasdepageCar">
    <w:name w:val="Note de bas de page Car"/>
    <w:basedOn w:val="Policepardfaut"/>
    <w:link w:val="Notedebasdepage"/>
    <w:uiPriority w:val="99"/>
    <w:semiHidden/>
    <w:rsid w:val="00067894"/>
    <w:rPr>
      <w:rFonts w:ascii="Times New Roman" w:eastAsia="Times New Roman" w:hAnsi="Times New Roman" w:cs="Arial"/>
      <w:sz w:val="24"/>
      <w:szCs w:val="20"/>
      <w:lang w:eastAsia="fr-FR"/>
    </w:rPr>
  </w:style>
  <w:style w:type="character" w:styleId="Marquedecommentaire">
    <w:name w:val="annotation reference"/>
    <w:basedOn w:val="Policepardfaut"/>
    <w:uiPriority w:val="99"/>
    <w:semiHidden/>
    <w:unhideWhenUsed/>
    <w:rsid w:val="000E580F"/>
    <w:rPr>
      <w:sz w:val="16"/>
      <w:szCs w:val="16"/>
    </w:rPr>
  </w:style>
  <w:style w:type="paragraph" w:styleId="Commentaire">
    <w:name w:val="annotation text"/>
    <w:basedOn w:val="Normal"/>
    <w:link w:val="CommentaireCar"/>
    <w:uiPriority w:val="99"/>
    <w:semiHidden/>
    <w:unhideWhenUsed/>
    <w:rsid w:val="000E580F"/>
    <w:pPr>
      <w:spacing w:line="240" w:lineRule="auto"/>
    </w:pPr>
    <w:rPr>
      <w:szCs w:val="20"/>
    </w:rPr>
  </w:style>
  <w:style w:type="character" w:customStyle="1" w:styleId="CommentaireCar">
    <w:name w:val="Commentaire Car"/>
    <w:basedOn w:val="Policepardfaut"/>
    <w:link w:val="Commentaire"/>
    <w:uiPriority w:val="99"/>
    <w:semiHidden/>
    <w:rsid w:val="000E580F"/>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0E580F"/>
    <w:rPr>
      <w:b/>
      <w:bCs/>
    </w:rPr>
  </w:style>
  <w:style w:type="character" w:customStyle="1" w:styleId="ObjetducommentaireCar">
    <w:name w:val="Objet du commentaire Car"/>
    <w:basedOn w:val="CommentaireCar"/>
    <w:link w:val="Objetducommentaire"/>
    <w:uiPriority w:val="99"/>
    <w:semiHidden/>
    <w:rsid w:val="000E580F"/>
    <w:rPr>
      <w:rFonts w:ascii="Arial" w:hAnsi="Arial"/>
      <w:b/>
      <w:bCs/>
      <w:sz w:val="20"/>
      <w:szCs w:val="20"/>
    </w:rPr>
  </w:style>
  <w:style w:type="character" w:styleId="Appelnotedebasdep">
    <w:name w:val="footnote reference"/>
    <w:basedOn w:val="Policepardfaut"/>
    <w:uiPriority w:val="99"/>
    <w:semiHidden/>
    <w:unhideWhenUsed/>
    <w:rsid w:val="00196391"/>
    <w:rPr>
      <w:vertAlign w:val="superscript"/>
    </w:rPr>
  </w:style>
  <w:style w:type="paragraph" w:styleId="Sansinterligne">
    <w:name w:val="No Spacing"/>
    <w:uiPriority w:val="1"/>
    <w:qFormat/>
    <w:rsid w:val="004E68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179288">
      <w:bodyDiv w:val="1"/>
      <w:marLeft w:val="0"/>
      <w:marRight w:val="0"/>
      <w:marTop w:val="0"/>
      <w:marBottom w:val="0"/>
      <w:divBdr>
        <w:top w:val="none" w:sz="0" w:space="0" w:color="auto"/>
        <w:left w:val="none" w:sz="0" w:space="0" w:color="auto"/>
        <w:bottom w:val="none" w:sz="0" w:space="0" w:color="auto"/>
        <w:right w:val="none" w:sz="0" w:space="0" w:color="auto"/>
      </w:divBdr>
    </w:div>
    <w:div w:id="248125072">
      <w:bodyDiv w:val="1"/>
      <w:marLeft w:val="0"/>
      <w:marRight w:val="0"/>
      <w:marTop w:val="0"/>
      <w:marBottom w:val="0"/>
      <w:divBdr>
        <w:top w:val="none" w:sz="0" w:space="0" w:color="auto"/>
        <w:left w:val="none" w:sz="0" w:space="0" w:color="auto"/>
        <w:bottom w:val="none" w:sz="0" w:space="0" w:color="auto"/>
        <w:right w:val="none" w:sz="0" w:space="0" w:color="auto"/>
      </w:divBdr>
    </w:div>
    <w:div w:id="506481785">
      <w:bodyDiv w:val="1"/>
      <w:marLeft w:val="0"/>
      <w:marRight w:val="0"/>
      <w:marTop w:val="0"/>
      <w:marBottom w:val="0"/>
      <w:divBdr>
        <w:top w:val="none" w:sz="0" w:space="0" w:color="auto"/>
        <w:left w:val="none" w:sz="0" w:space="0" w:color="auto"/>
        <w:bottom w:val="none" w:sz="0" w:space="0" w:color="auto"/>
        <w:right w:val="none" w:sz="0" w:space="0" w:color="auto"/>
      </w:divBdr>
    </w:div>
    <w:div w:id="876704195">
      <w:bodyDiv w:val="1"/>
      <w:marLeft w:val="0"/>
      <w:marRight w:val="0"/>
      <w:marTop w:val="0"/>
      <w:marBottom w:val="0"/>
      <w:divBdr>
        <w:top w:val="none" w:sz="0" w:space="0" w:color="auto"/>
        <w:left w:val="none" w:sz="0" w:space="0" w:color="auto"/>
        <w:bottom w:val="none" w:sz="0" w:space="0" w:color="auto"/>
        <w:right w:val="none" w:sz="0" w:space="0" w:color="auto"/>
      </w:divBdr>
      <w:divsChild>
        <w:div w:id="1316491390">
          <w:marLeft w:val="300"/>
          <w:marRight w:val="0"/>
          <w:marTop w:val="375"/>
          <w:marBottom w:val="225"/>
          <w:divBdr>
            <w:top w:val="none" w:sz="0" w:space="0" w:color="auto"/>
            <w:left w:val="none" w:sz="0" w:space="0" w:color="auto"/>
            <w:bottom w:val="none" w:sz="0" w:space="0" w:color="auto"/>
            <w:right w:val="none" w:sz="0" w:space="0" w:color="auto"/>
          </w:divBdr>
          <w:divsChild>
            <w:div w:id="1973828614">
              <w:marLeft w:val="0"/>
              <w:marRight w:val="0"/>
              <w:marTop w:val="0"/>
              <w:marBottom w:val="0"/>
              <w:divBdr>
                <w:top w:val="none" w:sz="0" w:space="0" w:color="auto"/>
                <w:left w:val="none" w:sz="0" w:space="0" w:color="auto"/>
                <w:bottom w:val="none" w:sz="0" w:space="0" w:color="auto"/>
                <w:right w:val="none" w:sz="0" w:space="0" w:color="auto"/>
              </w:divBdr>
              <w:divsChild>
                <w:div w:id="1374696158">
                  <w:marLeft w:val="0"/>
                  <w:marRight w:val="0"/>
                  <w:marTop w:val="0"/>
                  <w:marBottom w:val="0"/>
                  <w:divBdr>
                    <w:top w:val="none" w:sz="0" w:space="0" w:color="auto"/>
                    <w:left w:val="none" w:sz="0" w:space="0" w:color="auto"/>
                    <w:bottom w:val="none" w:sz="0" w:space="0" w:color="auto"/>
                    <w:right w:val="none" w:sz="0" w:space="0" w:color="auto"/>
                  </w:divBdr>
                  <w:divsChild>
                    <w:div w:id="143547384">
                      <w:marLeft w:val="0"/>
                      <w:marRight w:val="0"/>
                      <w:marTop w:val="0"/>
                      <w:marBottom w:val="0"/>
                      <w:divBdr>
                        <w:top w:val="none" w:sz="0" w:space="0" w:color="auto"/>
                        <w:left w:val="none" w:sz="0" w:space="0" w:color="auto"/>
                        <w:bottom w:val="none" w:sz="0" w:space="0" w:color="auto"/>
                        <w:right w:val="none" w:sz="0" w:space="0" w:color="auto"/>
                      </w:divBdr>
                      <w:divsChild>
                        <w:div w:id="38830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262540">
      <w:bodyDiv w:val="1"/>
      <w:marLeft w:val="0"/>
      <w:marRight w:val="0"/>
      <w:marTop w:val="0"/>
      <w:marBottom w:val="0"/>
      <w:divBdr>
        <w:top w:val="none" w:sz="0" w:space="0" w:color="auto"/>
        <w:left w:val="none" w:sz="0" w:space="0" w:color="auto"/>
        <w:bottom w:val="none" w:sz="0" w:space="0" w:color="auto"/>
        <w:right w:val="none" w:sz="0" w:space="0" w:color="auto"/>
      </w:divBdr>
    </w:div>
    <w:div w:id="1661084075">
      <w:bodyDiv w:val="1"/>
      <w:marLeft w:val="0"/>
      <w:marRight w:val="0"/>
      <w:marTop w:val="0"/>
      <w:marBottom w:val="0"/>
      <w:divBdr>
        <w:top w:val="none" w:sz="0" w:space="0" w:color="auto"/>
        <w:left w:val="none" w:sz="0" w:space="0" w:color="auto"/>
        <w:bottom w:val="none" w:sz="0" w:space="0" w:color="auto"/>
        <w:right w:val="none" w:sz="0" w:space="0" w:color="auto"/>
      </w:divBdr>
      <w:divsChild>
        <w:div w:id="1878200404">
          <w:marLeft w:val="300"/>
          <w:marRight w:val="0"/>
          <w:marTop w:val="375"/>
          <w:marBottom w:val="225"/>
          <w:divBdr>
            <w:top w:val="none" w:sz="0" w:space="0" w:color="auto"/>
            <w:left w:val="none" w:sz="0" w:space="0" w:color="auto"/>
            <w:bottom w:val="none" w:sz="0" w:space="0" w:color="auto"/>
            <w:right w:val="none" w:sz="0" w:space="0" w:color="auto"/>
          </w:divBdr>
          <w:divsChild>
            <w:div w:id="709569375">
              <w:marLeft w:val="0"/>
              <w:marRight w:val="0"/>
              <w:marTop w:val="0"/>
              <w:marBottom w:val="0"/>
              <w:divBdr>
                <w:top w:val="none" w:sz="0" w:space="0" w:color="auto"/>
                <w:left w:val="none" w:sz="0" w:space="0" w:color="auto"/>
                <w:bottom w:val="none" w:sz="0" w:space="0" w:color="auto"/>
                <w:right w:val="none" w:sz="0" w:space="0" w:color="auto"/>
              </w:divBdr>
              <w:divsChild>
                <w:div w:id="375204544">
                  <w:marLeft w:val="0"/>
                  <w:marRight w:val="0"/>
                  <w:marTop w:val="0"/>
                  <w:marBottom w:val="0"/>
                  <w:divBdr>
                    <w:top w:val="none" w:sz="0" w:space="0" w:color="auto"/>
                    <w:left w:val="none" w:sz="0" w:space="0" w:color="auto"/>
                    <w:bottom w:val="none" w:sz="0" w:space="0" w:color="auto"/>
                    <w:right w:val="none" w:sz="0" w:space="0" w:color="auto"/>
                  </w:divBdr>
                </w:div>
                <w:div w:id="583227115">
                  <w:marLeft w:val="0"/>
                  <w:marRight w:val="0"/>
                  <w:marTop w:val="0"/>
                  <w:marBottom w:val="0"/>
                  <w:divBdr>
                    <w:top w:val="none" w:sz="0" w:space="0" w:color="auto"/>
                    <w:left w:val="none" w:sz="0" w:space="0" w:color="auto"/>
                    <w:bottom w:val="none" w:sz="0" w:space="0" w:color="auto"/>
                    <w:right w:val="none" w:sz="0" w:space="0" w:color="auto"/>
                  </w:divBdr>
                  <w:divsChild>
                    <w:div w:id="1917010926">
                      <w:marLeft w:val="0"/>
                      <w:marRight w:val="0"/>
                      <w:marTop w:val="0"/>
                      <w:marBottom w:val="0"/>
                      <w:divBdr>
                        <w:top w:val="none" w:sz="0" w:space="0" w:color="auto"/>
                        <w:left w:val="none" w:sz="0" w:space="0" w:color="auto"/>
                        <w:bottom w:val="none" w:sz="0" w:space="0" w:color="auto"/>
                        <w:right w:val="none" w:sz="0" w:space="0" w:color="auto"/>
                      </w:divBdr>
                      <w:divsChild>
                        <w:div w:id="1948386814">
                          <w:marLeft w:val="0"/>
                          <w:marRight w:val="0"/>
                          <w:marTop w:val="0"/>
                          <w:marBottom w:val="0"/>
                          <w:divBdr>
                            <w:top w:val="none" w:sz="0" w:space="0" w:color="auto"/>
                            <w:left w:val="none" w:sz="0" w:space="0" w:color="auto"/>
                            <w:bottom w:val="none" w:sz="0" w:space="0" w:color="auto"/>
                            <w:right w:val="none" w:sz="0" w:space="0" w:color="auto"/>
                          </w:divBdr>
                          <w:divsChild>
                            <w:div w:id="251016775">
                              <w:marLeft w:val="0"/>
                              <w:marRight w:val="0"/>
                              <w:marTop w:val="15"/>
                              <w:marBottom w:val="0"/>
                              <w:divBdr>
                                <w:top w:val="none" w:sz="0" w:space="0" w:color="auto"/>
                                <w:left w:val="none" w:sz="0" w:space="0" w:color="auto"/>
                                <w:bottom w:val="none" w:sz="0" w:space="0" w:color="auto"/>
                                <w:right w:val="none" w:sz="0" w:space="0" w:color="auto"/>
                              </w:divBdr>
                            </w:div>
                            <w:div w:id="1493136400">
                              <w:marLeft w:val="0"/>
                              <w:marRight w:val="0"/>
                              <w:marTop w:val="15"/>
                              <w:marBottom w:val="0"/>
                              <w:divBdr>
                                <w:top w:val="none" w:sz="0" w:space="0" w:color="auto"/>
                                <w:left w:val="none" w:sz="0" w:space="0" w:color="auto"/>
                                <w:bottom w:val="none" w:sz="0" w:space="0" w:color="auto"/>
                                <w:right w:val="none" w:sz="0" w:space="0" w:color="auto"/>
                              </w:divBdr>
                            </w:div>
                            <w:div w:id="124827403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8054447">
      <w:bodyDiv w:val="1"/>
      <w:marLeft w:val="0"/>
      <w:marRight w:val="0"/>
      <w:marTop w:val="0"/>
      <w:marBottom w:val="0"/>
      <w:divBdr>
        <w:top w:val="none" w:sz="0" w:space="0" w:color="auto"/>
        <w:left w:val="none" w:sz="0" w:space="0" w:color="auto"/>
        <w:bottom w:val="none" w:sz="0" w:space="0" w:color="auto"/>
        <w:right w:val="none" w:sz="0" w:space="0" w:color="auto"/>
      </w:divBdr>
    </w:div>
    <w:div w:id="2103525887">
      <w:bodyDiv w:val="1"/>
      <w:marLeft w:val="0"/>
      <w:marRight w:val="0"/>
      <w:marTop w:val="0"/>
      <w:marBottom w:val="0"/>
      <w:divBdr>
        <w:top w:val="none" w:sz="0" w:space="0" w:color="auto"/>
        <w:left w:val="none" w:sz="0" w:space="0" w:color="auto"/>
        <w:bottom w:val="none" w:sz="0" w:space="0" w:color="auto"/>
        <w:right w:val="none" w:sz="0" w:space="0" w:color="auto"/>
      </w:divBdr>
      <w:divsChild>
        <w:div w:id="1350791836">
          <w:marLeft w:val="0"/>
          <w:marRight w:val="0"/>
          <w:marTop w:val="100"/>
          <w:marBottom w:val="100"/>
          <w:divBdr>
            <w:top w:val="none" w:sz="0" w:space="0" w:color="auto"/>
            <w:left w:val="single" w:sz="6" w:space="0" w:color="8E8F92"/>
            <w:bottom w:val="none" w:sz="0" w:space="0" w:color="auto"/>
            <w:right w:val="single" w:sz="6" w:space="0" w:color="8E8F92"/>
          </w:divBdr>
          <w:divsChild>
            <w:div w:id="241137344">
              <w:marLeft w:val="300"/>
              <w:marRight w:val="750"/>
              <w:marTop w:val="150"/>
              <w:marBottom w:val="150"/>
              <w:divBdr>
                <w:top w:val="dotted" w:sz="6" w:space="0" w:color="E8E5D6"/>
                <w:left w:val="dotted" w:sz="6" w:space="0" w:color="E8E5D6"/>
                <w:bottom w:val="dotted" w:sz="6" w:space="0" w:color="E8E5D6"/>
                <w:right w:val="dotted" w:sz="6" w:space="0" w:color="E8E5D6"/>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13796-CC03-47CF-81BA-12074A456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11E9493F.dotm</Template>
  <TotalTime>9</TotalTime>
  <Pages>2</Pages>
  <Words>1700</Words>
  <Characters>9351</Characters>
  <Application>Microsoft Office Word</Application>
  <DocSecurity>0</DocSecurity>
  <Lines>77</Lines>
  <Paragraphs>22</Paragraphs>
  <ScaleCrop>false</ScaleCrop>
  <HeadingPairs>
    <vt:vector size="2" baseType="variant">
      <vt:variant>
        <vt:lpstr>Titre</vt:lpstr>
      </vt:variant>
      <vt:variant>
        <vt:i4>1</vt:i4>
      </vt:variant>
    </vt:vector>
  </HeadingPairs>
  <TitlesOfParts>
    <vt:vector size="1" baseType="lpstr">
      <vt:lpstr/>
    </vt:vector>
  </TitlesOfParts>
  <Company>DG Tresor</Company>
  <LinksUpToDate>false</LinksUpToDate>
  <CharactersWithSpaces>11029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Faten.BOUKHCHANA@dgtresor.gouv.fr</dc:creator>
  <cp:lastModifiedBy>DE WARREN Grégoire</cp:lastModifiedBy>
  <cp:revision>4</cp:revision>
  <cp:lastPrinted>2016-02-15T09:33:00Z</cp:lastPrinted>
  <dcterms:created xsi:type="dcterms:W3CDTF">2018-01-11T11:10:00Z</dcterms:created>
  <dcterms:modified xsi:type="dcterms:W3CDTF">2018-01-22T10:47:00Z</dcterms:modified>
</cp:coreProperties>
</file>