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DCD69EC" w14:textId="2E50155B" w:rsidR="00207E30" w:rsidRDefault="00207E30" w:rsidP="0022586B">
      <w:pPr>
        <w:spacing w:after="0" w:line="240" w:lineRule="auto"/>
        <w:rPr>
          <w:rFonts w:ascii="Segoe UI" w:hAnsi="Segoe UI" w:cs="Segoe UI"/>
          <w:b/>
          <w:bCs/>
          <w:sz w:val="20"/>
          <w:szCs w:val="20"/>
          <w:u w:val="single"/>
        </w:rPr>
      </w:pPr>
    </w:p>
    <w:p w14:paraId="4290AE26" w14:textId="77777777" w:rsidR="00406F0E" w:rsidRDefault="00406F0E" w:rsidP="0022586B">
      <w:pPr>
        <w:spacing w:after="0" w:line="240" w:lineRule="auto"/>
        <w:rPr>
          <w:rFonts w:ascii="Segoe UI" w:hAnsi="Segoe UI" w:cs="Segoe UI"/>
          <w:b/>
          <w:bCs/>
          <w:sz w:val="20"/>
          <w:szCs w:val="20"/>
          <w:u w:val="single"/>
        </w:rPr>
      </w:pPr>
    </w:p>
    <w:p w14:paraId="4452A98C" w14:textId="77777777" w:rsidR="004A7B48" w:rsidRDefault="004A7B48" w:rsidP="0022586B">
      <w:pPr>
        <w:spacing w:after="0" w:line="240" w:lineRule="auto"/>
        <w:rPr>
          <w:rFonts w:ascii="Segoe UI" w:hAnsi="Segoe UI" w:cs="Segoe UI"/>
          <w:b/>
          <w:bCs/>
          <w:sz w:val="20"/>
          <w:szCs w:val="20"/>
          <w:u w:val="single"/>
        </w:rPr>
      </w:pPr>
    </w:p>
    <w:p w14:paraId="6CAAC9F0" w14:textId="54488970" w:rsidR="0022586B" w:rsidRPr="00F74531" w:rsidRDefault="0022586B" w:rsidP="0022586B">
      <w:pPr>
        <w:spacing w:after="0" w:line="240" w:lineRule="auto"/>
        <w:rPr>
          <w:rFonts w:ascii="Segoe UI" w:hAnsi="Segoe UI" w:cs="Segoe UI"/>
          <w:b/>
          <w:bCs/>
          <w:sz w:val="20"/>
          <w:szCs w:val="20"/>
          <w:u w:val="single"/>
        </w:rPr>
      </w:pPr>
      <w:r w:rsidRPr="00A4218E">
        <w:rPr>
          <w:rFonts w:ascii="Segoe UI" w:hAnsi="Segoe UI" w:cs="Segoe UI"/>
          <w:b/>
          <w:bCs/>
          <w:sz w:val="20"/>
          <w:szCs w:val="20"/>
          <w:u w:val="single"/>
        </w:rPr>
        <w:t xml:space="preserve">Annexe n°1 : Evolutions du marché japonais des </w:t>
      </w:r>
      <w:r w:rsidR="009F5EED">
        <w:rPr>
          <w:rFonts w:ascii="Segoe UI" w:hAnsi="Segoe UI" w:cs="Segoe UI"/>
          <w:b/>
          <w:bCs/>
          <w:sz w:val="20"/>
          <w:szCs w:val="20"/>
          <w:u w:val="single"/>
        </w:rPr>
        <w:t>cryptoactif</w:t>
      </w:r>
      <w:r w:rsidRPr="00A4218E">
        <w:rPr>
          <w:rFonts w:ascii="Segoe UI" w:hAnsi="Segoe UI" w:cs="Segoe UI"/>
          <w:b/>
          <w:bCs/>
          <w:sz w:val="20"/>
          <w:szCs w:val="20"/>
          <w:u w:val="single"/>
        </w:rPr>
        <w:t>s (données 202</w:t>
      </w:r>
      <w:r w:rsidR="00CE46D3">
        <w:rPr>
          <w:rFonts w:ascii="Segoe UI" w:hAnsi="Segoe UI" w:cs="Segoe UI"/>
          <w:b/>
          <w:bCs/>
          <w:sz w:val="20"/>
          <w:szCs w:val="20"/>
          <w:u w:val="single"/>
        </w:rPr>
        <w:t>3</w:t>
      </w:r>
      <w:r w:rsidRPr="00A4218E">
        <w:rPr>
          <w:rFonts w:ascii="Segoe UI" w:hAnsi="Segoe UI" w:cs="Segoe UI"/>
          <w:b/>
          <w:bCs/>
          <w:sz w:val="20"/>
          <w:szCs w:val="20"/>
          <w:u w:val="single"/>
        </w:rPr>
        <w:t>)</w:t>
      </w:r>
    </w:p>
    <w:p w14:paraId="1C8B826D" w14:textId="74284CC2" w:rsidR="0022586B" w:rsidRPr="00506FFA" w:rsidRDefault="0022586B" w:rsidP="00165E5A">
      <w:pPr>
        <w:spacing w:after="0" w:line="240" w:lineRule="auto"/>
        <w:rPr>
          <w:noProof/>
          <w:sz w:val="28"/>
          <w:szCs w:val="28"/>
        </w:rPr>
      </w:pPr>
    </w:p>
    <w:p w14:paraId="14DA4D1E" w14:textId="30043320" w:rsidR="0022586B" w:rsidRPr="00506FFA" w:rsidRDefault="00EA1676" w:rsidP="00506FFA">
      <w:pPr>
        <w:spacing w:after="0" w:line="240" w:lineRule="auto"/>
        <w:jc w:val="center"/>
        <w:rPr>
          <w:noProof/>
        </w:rPr>
      </w:pPr>
      <w:r>
        <w:rPr>
          <w:noProof/>
        </w:rPr>
        <w:drawing>
          <wp:inline distT="0" distB="0" distL="0" distR="0" wp14:anchorId="42B9F160" wp14:editId="6AB4EBDE">
            <wp:extent cx="6562725" cy="4152900"/>
            <wp:effectExtent l="0" t="0" r="9525" b="0"/>
            <wp:docPr id="1" name="Graphique 1">
              <a:extLst xmlns:a="http://schemas.openxmlformats.org/drawingml/2006/main">
                <a:ext uri="{FF2B5EF4-FFF2-40B4-BE49-F238E27FC236}">
                  <a16:creationId xmlns:a16="http://schemas.microsoft.com/office/drawing/2014/main" id="{7FAF2B1E-CB74-4BF4-8708-024F6495AB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C5EB731" w14:textId="703FDBB9" w:rsidR="0022586B" w:rsidRPr="00A4218E" w:rsidRDefault="00CF5A68" w:rsidP="0022586B">
      <w:pPr>
        <w:spacing w:after="0" w:line="240" w:lineRule="auto"/>
        <w:rPr>
          <w:rFonts w:ascii="Segoe UI" w:hAnsi="Segoe UI" w:cs="Segoe UI"/>
          <w:b/>
          <w:bCs/>
          <w:sz w:val="20"/>
          <w:szCs w:val="20"/>
          <w:u w:val="single"/>
        </w:rPr>
      </w:pPr>
      <w:r>
        <w:rPr>
          <w:rFonts w:ascii="Segoe UI" w:hAnsi="Segoe UI" w:cs="Segoe UI"/>
          <w:b/>
          <w:bCs/>
          <w:sz w:val="20"/>
          <w:szCs w:val="20"/>
          <w:u w:val="single"/>
        </w:rPr>
        <w:t xml:space="preserve">   </w:t>
      </w:r>
    </w:p>
    <w:p w14:paraId="04A869D8" w14:textId="708C8D91" w:rsidR="0022586B" w:rsidRDefault="0022586B" w:rsidP="00CF5A68">
      <w:pPr>
        <w:tabs>
          <w:tab w:val="left" w:pos="4020"/>
        </w:tabs>
        <w:spacing w:after="0" w:line="240" w:lineRule="auto"/>
        <w:rPr>
          <w:rFonts w:ascii="Segoe UI" w:hAnsi="Segoe UI" w:cs="Segoe UI"/>
          <w:i/>
          <w:iCs/>
          <w:color w:val="0070C0"/>
          <w:sz w:val="19"/>
          <w:szCs w:val="19"/>
        </w:rPr>
      </w:pPr>
    </w:p>
    <w:p w14:paraId="1100FBDD" w14:textId="1E40E4F8" w:rsidR="00506FFA" w:rsidRDefault="00506FFA" w:rsidP="00CF5A68">
      <w:pPr>
        <w:tabs>
          <w:tab w:val="left" w:pos="4020"/>
        </w:tabs>
        <w:spacing w:after="0" w:line="240" w:lineRule="auto"/>
        <w:rPr>
          <w:rFonts w:ascii="Segoe UI" w:hAnsi="Segoe UI" w:cs="Segoe UI"/>
          <w:i/>
          <w:iCs/>
          <w:color w:val="0070C0"/>
          <w:sz w:val="19"/>
          <w:szCs w:val="19"/>
        </w:rPr>
      </w:pPr>
    </w:p>
    <w:p w14:paraId="237B2163" w14:textId="43313B6B" w:rsidR="00506FFA" w:rsidRDefault="00526D9F" w:rsidP="00CF5A68">
      <w:pPr>
        <w:tabs>
          <w:tab w:val="left" w:pos="4020"/>
        </w:tabs>
        <w:spacing w:after="0" w:line="240" w:lineRule="auto"/>
        <w:rPr>
          <w:rFonts w:ascii="Segoe UI" w:hAnsi="Segoe UI" w:cs="Segoe UI"/>
          <w:i/>
          <w:iCs/>
          <w:color w:val="0070C0"/>
          <w:sz w:val="19"/>
          <w:szCs w:val="19"/>
        </w:rPr>
      </w:pPr>
      <w:r>
        <w:rPr>
          <w:noProof/>
        </w:rPr>
        <w:drawing>
          <wp:anchor distT="0" distB="0" distL="114300" distR="114300" simplePos="0" relativeHeight="251661312" behindDoc="0" locked="0" layoutInCell="1" allowOverlap="1" wp14:anchorId="7F61F62A" wp14:editId="60758625">
            <wp:simplePos x="0" y="0"/>
            <wp:positionH relativeFrom="margin">
              <wp:posOffset>3250566</wp:posOffset>
            </wp:positionH>
            <wp:positionV relativeFrom="paragraph">
              <wp:posOffset>48260</wp:posOffset>
            </wp:positionV>
            <wp:extent cx="3314700" cy="2701290"/>
            <wp:effectExtent l="0" t="0" r="0" b="3810"/>
            <wp:wrapNone/>
            <wp:docPr id="2" name="Graphique 2">
              <a:extLst xmlns:a="http://schemas.openxmlformats.org/drawingml/2006/main">
                <a:ext uri="{FF2B5EF4-FFF2-40B4-BE49-F238E27FC236}">
                  <a16:creationId xmlns:a16="http://schemas.microsoft.com/office/drawing/2014/main" id="{65577977-F986-4733-9964-91C26F8D7F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35341D4D" wp14:editId="4FDF2CD2">
            <wp:simplePos x="0" y="0"/>
            <wp:positionH relativeFrom="margin">
              <wp:align>left</wp:align>
            </wp:positionH>
            <wp:positionV relativeFrom="paragraph">
              <wp:posOffset>45720</wp:posOffset>
            </wp:positionV>
            <wp:extent cx="3190875" cy="2701290"/>
            <wp:effectExtent l="0" t="0" r="9525" b="3810"/>
            <wp:wrapNone/>
            <wp:docPr id="13" name="Graphique 13">
              <a:extLst xmlns:a="http://schemas.openxmlformats.org/drawingml/2006/main">
                <a:ext uri="{FF2B5EF4-FFF2-40B4-BE49-F238E27FC236}">
                  <a16:creationId xmlns:a16="http://schemas.microsoft.com/office/drawing/2014/main" id="{EB4A5CE4-CDEB-4061-9A24-239BC67798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714137E3" w14:textId="6E09EA3C" w:rsidR="00506FFA" w:rsidRDefault="00506FFA" w:rsidP="00CF5A68">
      <w:pPr>
        <w:tabs>
          <w:tab w:val="left" w:pos="4020"/>
        </w:tabs>
        <w:spacing w:after="0" w:line="240" w:lineRule="auto"/>
        <w:rPr>
          <w:rFonts w:ascii="Segoe UI" w:hAnsi="Segoe UI" w:cs="Segoe UI"/>
          <w:i/>
          <w:iCs/>
          <w:color w:val="0070C0"/>
          <w:sz w:val="19"/>
          <w:szCs w:val="19"/>
        </w:rPr>
      </w:pPr>
    </w:p>
    <w:p w14:paraId="0D6BF9DC" w14:textId="025D1C5B" w:rsidR="00506FFA" w:rsidRDefault="00506FFA" w:rsidP="00CF5A68">
      <w:pPr>
        <w:tabs>
          <w:tab w:val="left" w:pos="4020"/>
        </w:tabs>
        <w:spacing w:after="0" w:line="240" w:lineRule="auto"/>
        <w:rPr>
          <w:rFonts w:ascii="Segoe UI" w:hAnsi="Segoe UI" w:cs="Segoe UI"/>
          <w:i/>
          <w:iCs/>
          <w:color w:val="0070C0"/>
          <w:sz w:val="19"/>
          <w:szCs w:val="19"/>
        </w:rPr>
      </w:pPr>
    </w:p>
    <w:p w14:paraId="491581B6" w14:textId="591DF4DD" w:rsidR="00506FFA" w:rsidRDefault="00506FFA" w:rsidP="00CF5A68">
      <w:pPr>
        <w:tabs>
          <w:tab w:val="left" w:pos="4020"/>
        </w:tabs>
        <w:spacing w:after="0" w:line="240" w:lineRule="auto"/>
        <w:rPr>
          <w:rFonts w:ascii="Segoe UI" w:hAnsi="Segoe UI" w:cs="Segoe UI"/>
          <w:i/>
          <w:iCs/>
          <w:color w:val="0070C0"/>
          <w:sz w:val="19"/>
          <w:szCs w:val="19"/>
        </w:rPr>
      </w:pPr>
    </w:p>
    <w:p w14:paraId="6D47B9A5" w14:textId="73A9D657" w:rsidR="00506FFA" w:rsidRDefault="00506FFA" w:rsidP="00CF5A68">
      <w:pPr>
        <w:tabs>
          <w:tab w:val="left" w:pos="4020"/>
        </w:tabs>
        <w:spacing w:after="0" w:line="240" w:lineRule="auto"/>
        <w:rPr>
          <w:rFonts w:ascii="Segoe UI" w:hAnsi="Segoe UI" w:cs="Segoe UI"/>
          <w:i/>
          <w:iCs/>
          <w:color w:val="0070C0"/>
          <w:sz w:val="19"/>
          <w:szCs w:val="19"/>
        </w:rPr>
      </w:pPr>
    </w:p>
    <w:p w14:paraId="5590BAEB" w14:textId="2C5FB831" w:rsidR="00506FFA" w:rsidRDefault="00506FFA" w:rsidP="00CF5A68">
      <w:pPr>
        <w:tabs>
          <w:tab w:val="left" w:pos="4020"/>
        </w:tabs>
        <w:spacing w:after="0" w:line="240" w:lineRule="auto"/>
        <w:rPr>
          <w:rFonts w:ascii="Segoe UI" w:hAnsi="Segoe UI" w:cs="Segoe UI"/>
          <w:i/>
          <w:iCs/>
          <w:color w:val="0070C0"/>
          <w:sz w:val="19"/>
          <w:szCs w:val="19"/>
        </w:rPr>
      </w:pPr>
    </w:p>
    <w:p w14:paraId="6F29FC13" w14:textId="38B861A9" w:rsidR="00506FFA" w:rsidRDefault="00506FFA" w:rsidP="00CF5A68">
      <w:pPr>
        <w:tabs>
          <w:tab w:val="left" w:pos="4020"/>
        </w:tabs>
        <w:spacing w:after="0" w:line="240" w:lineRule="auto"/>
        <w:rPr>
          <w:rFonts w:ascii="Segoe UI" w:hAnsi="Segoe UI" w:cs="Segoe UI"/>
          <w:i/>
          <w:iCs/>
          <w:color w:val="0070C0"/>
          <w:sz w:val="19"/>
          <w:szCs w:val="19"/>
        </w:rPr>
      </w:pPr>
    </w:p>
    <w:p w14:paraId="14875482" w14:textId="26C1B6FA" w:rsidR="00506FFA" w:rsidRDefault="00506FFA" w:rsidP="00CF5A68">
      <w:pPr>
        <w:tabs>
          <w:tab w:val="left" w:pos="4020"/>
        </w:tabs>
        <w:spacing w:after="0" w:line="240" w:lineRule="auto"/>
        <w:rPr>
          <w:rFonts w:ascii="Segoe UI" w:hAnsi="Segoe UI" w:cs="Segoe UI"/>
          <w:i/>
          <w:iCs/>
          <w:color w:val="0070C0"/>
          <w:sz w:val="19"/>
          <w:szCs w:val="19"/>
        </w:rPr>
      </w:pPr>
    </w:p>
    <w:p w14:paraId="70954DB0" w14:textId="2AD253F9" w:rsidR="00506FFA" w:rsidRDefault="00506FFA" w:rsidP="00CF5A68">
      <w:pPr>
        <w:tabs>
          <w:tab w:val="left" w:pos="4020"/>
        </w:tabs>
        <w:spacing w:after="0" w:line="240" w:lineRule="auto"/>
        <w:rPr>
          <w:rFonts w:ascii="Segoe UI" w:hAnsi="Segoe UI" w:cs="Segoe UI"/>
          <w:i/>
          <w:iCs/>
          <w:color w:val="0070C0"/>
          <w:sz w:val="19"/>
          <w:szCs w:val="19"/>
        </w:rPr>
      </w:pPr>
    </w:p>
    <w:p w14:paraId="61EC34D2" w14:textId="3DB3536D" w:rsidR="00506FFA" w:rsidRDefault="00506FFA" w:rsidP="00CF5A68">
      <w:pPr>
        <w:tabs>
          <w:tab w:val="left" w:pos="4020"/>
        </w:tabs>
        <w:spacing w:after="0" w:line="240" w:lineRule="auto"/>
        <w:rPr>
          <w:rFonts w:ascii="Segoe UI" w:hAnsi="Segoe UI" w:cs="Segoe UI"/>
          <w:i/>
          <w:iCs/>
          <w:color w:val="0070C0"/>
          <w:sz w:val="19"/>
          <w:szCs w:val="19"/>
        </w:rPr>
      </w:pPr>
    </w:p>
    <w:p w14:paraId="23944F19" w14:textId="0BAB2509" w:rsidR="00506FFA" w:rsidRDefault="00506FFA" w:rsidP="00CF5A68">
      <w:pPr>
        <w:tabs>
          <w:tab w:val="left" w:pos="4020"/>
        </w:tabs>
        <w:spacing w:after="0" w:line="240" w:lineRule="auto"/>
        <w:rPr>
          <w:rFonts w:ascii="Segoe UI" w:hAnsi="Segoe UI" w:cs="Segoe UI"/>
          <w:i/>
          <w:iCs/>
          <w:color w:val="0070C0"/>
          <w:sz w:val="19"/>
          <w:szCs w:val="19"/>
        </w:rPr>
      </w:pPr>
    </w:p>
    <w:p w14:paraId="3FB89187" w14:textId="26B3B7EB" w:rsidR="00506FFA" w:rsidRDefault="00506FFA" w:rsidP="00CF5A68">
      <w:pPr>
        <w:tabs>
          <w:tab w:val="left" w:pos="4020"/>
        </w:tabs>
        <w:spacing w:after="0" w:line="240" w:lineRule="auto"/>
        <w:rPr>
          <w:rFonts w:ascii="Segoe UI" w:hAnsi="Segoe UI" w:cs="Segoe UI"/>
          <w:i/>
          <w:iCs/>
          <w:color w:val="0070C0"/>
          <w:sz w:val="19"/>
          <w:szCs w:val="19"/>
        </w:rPr>
      </w:pPr>
    </w:p>
    <w:p w14:paraId="57A37DF9" w14:textId="36249DDD" w:rsidR="00506FFA" w:rsidRDefault="00506FFA" w:rsidP="00CF5A68">
      <w:pPr>
        <w:tabs>
          <w:tab w:val="left" w:pos="4020"/>
        </w:tabs>
        <w:spacing w:after="0" w:line="240" w:lineRule="auto"/>
        <w:rPr>
          <w:rFonts w:ascii="Segoe UI" w:hAnsi="Segoe UI" w:cs="Segoe UI"/>
          <w:i/>
          <w:iCs/>
          <w:color w:val="0070C0"/>
          <w:sz w:val="19"/>
          <w:szCs w:val="19"/>
        </w:rPr>
      </w:pPr>
    </w:p>
    <w:p w14:paraId="35C8EA0C" w14:textId="77777777" w:rsidR="00506FFA" w:rsidRPr="00A4218E" w:rsidRDefault="00506FFA" w:rsidP="00CF5A68">
      <w:pPr>
        <w:tabs>
          <w:tab w:val="left" w:pos="4020"/>
        </w:tabs>
        <w:spacing w:after="0" w:line="240" w:lineRule="auto"/>
        <w:rPr>
          <w:rFonts w:ascii="Segoe UI" w:hAnsi="Segoe UI" w:cs="Segoe UI"/>
          <w:i/>
          <w:iCs/>
          <w:color w:val="0070C0"/>
          <w:sz w:val="19"/>
          <w:szCs w:val="19"/>
        </w:rPr>
      </w:pPr>
    </w:p>
    <w:p w14:paraId="6B4F9E5A" w14:textId="77777777" w:rsidR="001666C2" w:rsidRDefault="001666C2" w:rsidP="00DA71D4">
      <w:pPr>
        <w:spacing w:after="0" w:line="240" w:lineRule="auto"/>
        <w:rPr>
          <w:rFonts w:ascii="Segoe UI" w:hAnsi="Segoe UI" w:cs="Segoe UI"/>
          <w:b/>
          <w:bCs/>
          <w:sz w:val="20"/>
          <w:szCs w:val="20"/>
          <w:u w:val="single"/>
        </w:rPr>
      </w:pPr>
    </w:p>
    <w:p w14:paraId="71628684" w14:textId="77777777" w:rsidR="00506FFA" w:rsidRDefault="00506FFA" w:rsidP="00DA71D4">
      <w:pPr>
        <w:spacing w:after="0" w:line="240" w:lineRule="auto"/>
        <w:rPr>
          <w:rFonts w:ascii="Segoe UI" w:hAnsi="Segoe UI" w:cs="Segoe UI"/>
          <w:b/>
          <w:bCs/>
          <w:sz w:val="20"/>
          <w:szCs w:val="20"/>
          <w:u w:val="single"/>
        </w:rPr>
      </w:pPr>
    </w:p>
    <w:p w14:paraId="108D32F0" w14:textId="77777777" w:rsidR="00506FFA" w:rsidRDefault="00506FFA" w:rsidP="00DA71D4">
      <w:pPr>
        <w:spacing w:after="0" w:line="240" w:lineRule="auto"/>
        <w:rPr>
          <w:rFonts w:ascii="Segoe UI" w:hAnsi="Segoe UI" w:cs="Segoe UI"/>
          <w:b/>
          <w:bCs/>
          <w:sz w:val="20"/>
          <w:szCs w:val="20"/>
          <w:u w:val="single"/>
        </w:rPr>
      </w:pPr>
    </w:p>
    <w:p w14:paraId="400FCCD8" w14:textId="77777777" w:rsidR="00506FFA" w:rsidRDefault="00506FFA" w:rsidP="00DA71D4">
      <w:pPr>
        <w:spacing w:after="0" w:line="240" w:lineRule="auto"/>
        <w:rPr>
          <w:rFonts w:ascii="Segoe UI" w:hAnsi="Segoe UI" w:cs="Segoe UI"/>
          <w:b/>
          <w:bCs/>
          <w:sz w:val="20"/>
          <w:szCs w:val="20"/>
          <w:u w:val="single"/>
        </w:rPr>
      </w:pPr>
    </w:p>
    <w:p w14:paraId="59ED76F9" w14:textId="77777777" w:rsidR="00506FFA" w:rsidRDefault="00506FFA" w:rsidP="00DA71D4">
      <w:pPr>
        <w:spacing w:after="0" w:line="240" w:lineRule="auto"/>
        <w:rPr>
          <w:rFonts w:ascii="Segoe UI" w:hAnsi="Segoe UI" w:cs="Segoe UI"/>
          <w:b/>
          <w:bCs/>
          <w:sz w:val="20"/>
          <w:szCs w:val="20"/>
          <w:u w:val="single"/>
        </w:rPr>
      </w:pPr>
    </w:p>
    <w:p w14:paraId="68B1E884" w14:textId="77777777" w:rsidR="00506FFA" w:rsidRDefault="00506FFA" w:rsidP="00DA71D4">
      <w:pPr>
        <w:spacing w:after="0" w:line="240" w:lineRule="auto"/>
        <w:rPr>
          <w:rFonts w:ascii="Segoe UI" w:hAnsi="Segoe UI" w:cs="Segoe UI"/>
          <w:b/>
          <w:bCs/>
          <w:sz w:val="20"/>
          <w:szCs w:val="20"/>
          <w:u w:val="single"/>
        </w:rPr>
      </w:pPr>
    </w:p>
    <w:p w14:paraId="72CE97CF" w14:textId="77777777" w:rsidR="00506FFA" w:rsidRDefault="00506FFA" w:rsidP="00DA71D4">
      <w:pPr>
        <w:spacing w:after="0" w:line="240" w:lineRule="auto"/>
        <w:rPr>
          <w:rFonts w:ascii="Segoe UI" w:hAnsi="Segoe UI" w:cs="Segoe UI"/>
          <w:b/>
          <w:bCs/>
          <w:sz w:val="20"/>
          <w:szCs w:val="20"/>
          <w:u w:val="single"/>
        </w:rPr>
      </w:pPr>
    </w:p>
    <w:p w14:paraId="56901544" w14:textId="77777777" w:rsidR="00506FFA" w:rsidRDefault="00506FFA" w:rsidP="00DA71D4">
      <w:pPr>
        <w:spacing w:after="0" w:line="240" w:lineRule="auto"/>
        <w:rPr>
          <w:rFonts w:ascii="Segoe UI" w:hAnsi="Segoe UI" w:cs="Segoe UI"/>
          <w:b/>
          <w:bCs/>
          <w:sz w:val="20"/>
          <w:szCs w:val="20"/>
          <w:u w:val="single"/>
        </w:rPr>
      </w:pPr>
    </w:p>
    <w:p w14:paraId="61473207" w14:textId="77777777" w:rsidR="00506FFA" w:rsidRDefault="00506FFA" w:rsidP="00DA71D4">
      <w:pPr>
        <w:spacing w:after="0" w:line="240" w:lineRule="auto"/>
        <w:rPr>
          <w:rFonts w:ascii="Segoe UI" w:hAnsi="Segoe UI" w:cs="Segoe UI"/>
          <w:b/>
          <w:bCs/>
          <w:sz w:val="20"/>
          <w:szCs w:val="20"/>
          <w:u w:val="single"/>
        </w:rPr>
      </w:pPr>
    </w:p>
    <w:p w14:paraId="3EA64B11" w14:textId="77777777" w:rsidR="00506FFA" w:rsidRDefault="00506FFA" w:rsidP="00DA71D4">
      <w:pPr>
        <w:spacing w:after="0" w:line="240" w:lineRule="auto"/>
        <w:rPr>
          <w:rFonts w:ascii="Segoe UI" w:hAnsi="Segoe UI" w:cs="Segoe UI"/>
          <w:b/>
          <w:bCs/>
          <w:sz w:val="20"/>
          <w:szCs w:val="20"/>
          <w:u w:val="single"/>
        </w:rPr>
      </w:pPr>
    </w:p>
    <w:p w14:paraId="22C22740" w14:textId="77777777" w:rsidR="00506FFA" w:rsidRDefault="00506FFA" w:rsidP="00DA71D4">
      <w:pPr>
        <w:spacing w:after="0" w:line="240" w:lineRule="auto"/>
        <w:rPr>
          <w:rFonts w:ascii="Segoe UI" w:hAnsi="Segoe UI" w:cs="Segoe UI"/>
          <w:b/>
          <w:bCs/>
          <w:sz w:val="20"/>
          <w:szCs w:val="20"/>
          <w:u w:val="single"/>
        </w:rPr>
      </w:pPr>
    </w:p>
    <w:p w14:paraId="31B3BBF4" w14:textId="734C534A" w:rsidR="00ED50CE" w:rsidRPr="00A4218E" w:rsidRDefault="00825058" w:rsidP="00DA71D4">
      <w:pPr>
        <w:spacing w:after="0" w:line="240" w:lineRule="auto"/>
        <w:rPr>
          <w:rFonts w:ascii="Segoe UI" w:hAnsi="Segoe UI" w:cs="Segoe UI"/>
          <w:b/>
          <w:bCs/>
          <w:sz w:val="20"/>
          <w:szCs w:val="20"/>
          <w:u w:val="single"/>
        </w:rPr>
      </w:pPr>
      <w:r w:rsidRPr="00A4218E">
        <w:rPr>
          <w:rFonts w:ascii="Segoe UI" w:hAnsi="Segoe UI" w:cs="Segoe UI"/>
          <w:b/>
          <w:bCs/>
          <w:sz w:val="20"/>
          <w:szCs w:val="20"/>
          <w:u w:val="single"/>
        </w:rPr>
        <w:lastRenderedPageBreak/>
        <w:t>Annexe n°</w:t>
      </w:r>
      <w:r w:rsidR="001218AC" w:rsidRPr="00A4218E">
        <w:rPr>
          <w:rFonts w:ascii="Segoe UI" w:hAnsi="Segoe UI" w:cs="Segoe UI"/>
          <w:b/>
          <w:bCs/>
          <w:sz w:val="20"/>
          <w:szCs w:val="20"/>
          <w:u w:val="single"/>
        </w:rPr>
        <w:t>2</w:t>
      </w:r>
      <w:r w:rsidRPr="00A4218E">
        <w:rPr>
          <w:rFonts w:ascii="Segoe UI" w:hAnsi="Segoe UI" w:cs="Segoe UI"/>
          <w:b/>
          <w:bCs/>
          <w:sz w:val="20"/>
          <w:szCs w:val="20"/>
          <w:u w:val="single"/>
        </w:rPr>
        <w:t xml:space="preserve"> : Tableau récapitulatif des </w:t>
      </w:r>
      <w:r w:rsidR="00C860E3" w:rsidRPr="00A4218E">
        <w:rPr>
          <w:rFonts w:ascii="Segoe UI" w:hAnsi="Segoe UI" w:cs="Segoe UI"/>
          <w:b/>
          <w:bCs/>
          <w:sz w:val="20"/>
          <w:szCs w:val="20"/>
          <w:u w:val="single"/>
        </w:rPr>
        <w:t>p</w:t>
      </w:r>
      <w:r w:rsidRPr="00A4218E">
        <w:rPr>
          <w:rFonts w:ascii="Segoe UI" w:hAnsi="Segoe UI" w:cs="Segoe UI"/>
          <w:b/>
          <w:bCs/>
          <w:sz w:val="20"/>
          <w:szCs w:val="20"/>
          <w:u w:val="single"/>
        </w:rPr>
        <w:t>restataires de</w:t>
      </w:r>
      <w:r w:rsidR="00C860E3" w:rsidRPr="00A4218E">
        <w:rPr>
          <w:rFonts w:ascii="Segoe UI" w:hAnsi="Segoe UI" w:cs="Segoe UI"/>
          <w:b/>
          <w:bCs/>
          <w:sz w:val="20"/>
          <w:szCs w:val="20"/>
          <w:u w:val="single"/>
        </w:rPr>
        <w:t xml:space="preserve"> services d’échange de</w:t>
      </w:r>
      <w:r w:rsidRPr="00A4218E">
        <w:rPr>
          <w:rFonts w:ascii="Segoe UI" w:hAnsi="Segoe UI" w:cs="Segoe UI"/>
          <w:b/>
          <w:bCs/>
          <w:sz w:val="20"/>
          <w:szCs w:val="20"/>
          <w:u w:val="single"/>
        </w:rPr>
        <w:t xml:space="preserve"> </w:t>
      </w:r>
      <w:r w:rsidR="009F5EED">
        <w:rPr>
          <w:rFonts w:ascii="Segoe UI" w:hAnsi="Segoe UI" w:cs="Segoe UI"/>
          <w:b/>
          <w:bCs/>
          <w:sz w:val="20"/>
          <w:szCs w:val="20"/>
          <w:u w:val="single"/>
        </w:rPr>
        <w:t>cryptoactif</w:t>
      </w:r>
      <w:r w:rsidRPr="00A4218E">
        <w:rPr>
          <w:rFonts w:ascii="Segoe UI" w:hAnsi="Segoe UI" w:cs="Segoe UI"/>
          <w:b/>
          <w:bCs/>
          <w:sz w:val="20"/>
          <w:szCs w:val="20"/>
          <w:u w:val="single"/>
        </w:rPr>
        <w:t>s au Japon</w:t>
      </w:r>
      <w:r w:rsidR="00C860E3" w:rsidRPr="00A4218E">
        <w:rPr>
          <w:rFonts w:ascii="Segoe UI" w:hAnsi="Segoe UI" w:cs="Segoe UI"/>
          <w:b/>
          <w:bCs/>
          <w:sz w:val="20"/>
          <w:szCs w:val="20"/>
          <w:u w:val="single"/>
        </w:rPr>
        <w:t xml:space="preserve"> </w:t>
      </w:r>
    </w:p>
    <w:p w14:paraId="02E92CD0" w14:textId="4D6270D3" w:rsidR="003D30A8" w:rsidRDefault="003D30A8" w:rsidP="00DA71D4">
      <w:pPr>
        <w:spacing w:after="0" w:line="240" w:lineRule="auto"/>
        <w:rPr>
          <w:rFonts w:ascii="Segoe UI" w:hAnsi="Segoe UI" w:cs="Segoe UI"/>
          <w:b/>
          <w:bCs/>
          <w:noProof/>
          <w:sz w:val="20"/>
          <w:szCs w:val="20"/>
          <w:u w:val="single"/>
        </w:rPr>
      </w:pPr>
      <w:r w:rsidRPr="003D30A8">
        <w:rPr>
          <w:rFonts w:ascii="Segoe UI" w:hAnsi="Segoe UI" w:cs="Segoe UI"/>
          <w:b/>
          <w:bCs/>
          <w:noProof/>
          <w:sz w:val="20"/>
          <w:szCs w:val="20"/>
          <w:u w:val="single"/>
        </w:rPr>
        <w:drawing>
          <wp:anchor distT="0" distB="0" distL="114300" distR="114300" simplePos="0" relativeHeight="251658240" behindDoc="0" locked="0" layoutInCell="1" allowOverlap="1" wp14:anchorId="016CA912" wp14:editId="71168EF1">
            <wp:simplePos x="0" y="0"/>
            <wp:positionH relativeFrom="column">
              <wp:posOffset>44526</wp:posOffset>
            </wp:positionH>
            <wp:positionV relativeFrom="paragraph">
              <wp:posOffset>4405249</wp:posOffset>
            </wp:positionV>
            <wp:extent cx="6660515" cy="4388485"/>
            <wp:effectExtent l="0" t="0" r="6985"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660515" cy="4388485"/>
                    </a:xfrm>
                    <a:prstGeom prst="rect">
                      <a:avLst/>
                    </a:prstGeom>
                  </pic:spPr>
                </pic:pic>
              </a:graphicData>
            </a:graphic>
            <wp14:sizeRelH relativeFrom="page">
              <wp14:pctWidth>0</wp14:pctWidth>
            </wp14:sizeRelH>
            <wp14:sizeRelV relativeFrom="page">
              <wp14:pctHeight>0</wp14:pctHeight>
            </wp14:sizeRelV>
          </wp:anchor>
        </w:drawing>
      </w:r>
      <w:r w:rsidRPr="003D30A8">
        <w:rPr>
          <w:rFonts w:ascii="Segoe UI" w:hAnsi="Segoe UI" w:cs="Segoe UI"/>
          <w:b/>
          <w:bCs/>
          <w:noProof/>
          <w:sz w:val="20"/>
          <w:szCs w:val="20"/>
          <w:u w:val="single"/>
        </w:rPr>
        <w:drawing>
          <wp:inline distT="0" distB="0" distL="0" distR="0" wp14:anchorId="1B0F7EFB" wp14:editId="07F9DBBA">
            <wp:extent cx="6660515" cy="4592320"/>
            <wp:effectExtent l="0" t="0" r="698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60515" cy="4592320"/>
                    </a:xfrm>
                    <a:prstGeom prst="rect">
                      <a:avLst/>
                    </a:prstGeom>
                  </pic:spPr>
                </pic:pic>
              </a:graphicData>
            </a:graphic>
          </wp:inline>
        </w:drawing>
      </w:r>
    </w:p>
    <w:p w14:paraId="34067C7A" w14:textId="6C7A3D33" w:rsidR="003D30A8" w:rsidRPr="00A4218E" w:rsidRDefault="003D30A8" w:rsidP="00DA71D4">
      <w:pPr>
        <w:spacing w:after="0" w:line="240" w:lineRule="auto"/>
        <w:rPr>
          <w:rFonts w:ascii="Segoe UI" w:hAnsi="Segoe UI" w:cs="Segoe UI"/>
          <w:b/>
          <w:bCs/>
          <w:sz w:val="20"/>
          <w:szCs w:val="20"/>
          <w:u w:val="single"/>
        </w:rPr>
      </w:pPr>
    </w:p>
    <w:p w14:paraId="2F1EAF3C" w14:textId="176F2173" w:rsidR="003F620F" w:rsidRPr="00A4218E" w:rsidRDefault="003F620F" w:rsidP="00DA71D4">
      <w:pPr>
        <w:spacing w:after="0" w:line="240" w:lineRule="auto"/>
        <w:rPr>
          <w:rFonts w:ascii="Segoe UI" w:hAnsi="Segoe UI" w:cs="Segoe UI"/>
          <w:b/>
          <w:bCs/>
          <w:sz w:val="20"/>
          <w:szCs w:val="20"/>
          <w:u w:val="single"/>
        </w:rPr>
      </w:pPr>
    </w:p>
    <w:p w14:paraId="30F55182" w14:textId="77777777" w:rsidR="00040A06" w:rsidRPr="00A4218E" w:rsidRDefault="00040A06" w:rsidP="00DA71D4">
      <w:pPr>
        <w:spacing w:after="0" w:line="240" w:lineRule="auto"/>
        <w:rPr>
          <w:rFonts w:ascii="Segoe UI" w:hAnsi="Segoe UI" w:cs="Segoe UI"/>
          <w:b/>
          <w:bCs/>
          <w:sz w:val="20"/>
          <w:szCs w:val="20"/>
          <w:u w:val="single"/>
        </w:rPr>
      </w:pPr>
    </w:p>
    <w:p w14:paraId="39385970" w14:textId="22BF53FD" w:rsidR="003D30A8" w:rsidRDefault="003D30A8" w:rsidP="00DA71D4">
      <w:pPr>
        <w:spacing w:after="0" w:line="240" w:lineRule="auto"/>
        <w:rPr>
          <w:rFonts w:ascii="Segoe UI" w:hAnsi="Segoe UI" w:cs="Segoe UI"/>
          <w:b/>
          <w:bCs/>
          <w:sz w:val="20"/>
          <w:szCs w:val="20"/>
          <w:u w:val="single"/>
        </w:rPr>
      </w:pPr>
    </w:p>
    <w:p w14:paraId="4A8774D5" w14:textId="77777777" w:rsidR="003D30A8" w:rsidRDefault="003D30A8" w:rsidP="00DA71D4">
      <w:pPr>
        <w:spacing w:after="0" w:line="240" w:lineRule="auto"/>
        <w:rPr>
          <w:rFonts w:ascii="Segoe UI" w:hAnsi="Segoe UI" w:cs="Segoe UI"/>
          <w:b/>
          <w:bCs/>
          <w:sz w:val="20"/>
          <w:szCs w:val="20"/>
          <w:u w:val="single"/>
        </w:rPr>
      </w:pPr>
    </w:p>
    <w:p w14:paraId="325546D8" w14:textId="77777777" w:rsidR="003D30A8" w:rsidRDefault="003D30A8" w:rsidP="00DA71D4">
      <w:pPr>
        <w:spacing w:after="0" w:line="240" w:lineRule="auto"/>
        <w:rPr>
          <w:rFonts w:ascii="Segoe UI" w:hAnsi="Segoe UI" w:cs="Segoe UI"/>
          <w:b/>
          <w:bCs/>
          <w:sz w:val="20"/>
          <w:szCs w:val="20"/>
          <w:u w:val="single"/>
        </w:rPr>
      </w:pPr>
    </w:p>
    <w:p w14:paraId="600B6953" w14:textId="6EBC1EB9" w:rsidR="003D30A8" w:rsidRDefault="003D30A8" w:rsidP="00DA71D4">
      <w:pPr>
        <w:spacing w:after="0" w:line="240" w:lineRule="auto"/>
        <w:rPr>
          <w:rFonts w:ascii="Segoe UI" w:hAnsi="Segoe UI" w:cs="Segoe UI"/>
          <w:b/>
          <w:bCs/>
          <w:sz w:val="20"/>
          <w:szCs w:val="20"/>
          <w:u w:val="single"/>
        </w:rPr>
      </w:pPr>
    </w:p>
    <w:p w14:paraId="627EC340" w14:textId="77777777" w:rsidR="003D30A8" w:rsidRDefault="003D30A8" w:rsidP="00DA71D4">
      <w:pPr>
        <w:spacing w:after="0" w:line="240" w:lineRule="auto"/>
        <w:rPr>
          <w:rFonts w:ascii="Segoe UI" w:hAnsi="Segoe UI" w:cs="Segoe UI"/>
          <w:b/>
          <w:bCs/>
          <w:sz w:val="20"/>
          <w:szCs w:val="20"/>
          <w:u w:val="single"/>
        </w:rPr>
      </w:pPr>
    </w:p>
    <w:p w14:paraId="3415F701" w14:textId="1FB0CEAA" w:rsidR="003D30A8" w:rsidRDefault="003D30A8" w:rsidP="00DA71D4">
      <w:pPr>
        <w:spacing w:after="0" w:line="240" w:lineRule="auto"/>
        <w:rPr>
          <w:rFonts w:ascii="Segoe UI" w:hAnsi="Segoe UI" w:cs="Segoe UI"/>
          <w:b/>
          <w:bCs/>
          <w:sz w:val="20"/>
          <w:szCs w:val="20"/>
          <w:u w:val="single"/>
        </w:rPr>
      </w:pPr>
    </w:p>
    <w:p w14:paraId="42170F2F" w14:textId="1A855A88" w:rsidR="003D30A8" w:rsidRDefault="003D30A8" w:rsidP="00DA71D4">
      <w:pPr>
        <w:spacing w:after="0" w:line="240" w:lineRule="auto"/>
        <w:rPr>
          <w:rFonts w:ascii="Segoe UI" w:hAnsi="Segoe UI" w:cs="Segoe UI"/>
          <w:b/>
          <w:bCs/>
          <w:sz w:val="20"/>
          <w:szCs w:val="20"/>
          <w:u w:val="single"/>
        </w:rPr>
      </w:pPr>
    </w:p>
    <w:p w14:paraId="0069BDF1" w14:textId="1B3C6EF0" w:rsidR="003D30A8" w:rsidRDefault="003D30A8" w:rsidP="00DA71D4">
      <w:pPr>
        <w:spacing w:after="0" w:line="240" w:lineRule="auto"/>
        <w:rPr>
          <w:rFonts w:ascii="Segoe UI" w:hAnsi="Segoe UI" w:cs="Segoe UI"/>
          <w:b/>
          <w:bCs/>
          <w:sz w:val="20"/>
          <w:szCs w:val="20"/>
          <w:u w:val="single"/>
        </w:rPr>
      </w:pPr>
    </w:p>
    <w:p w14:paraId="228922C5" w14:textId="3D96DEE9" w:rsidR="003D30A8" w:rsidRDefault="003D30A8" w:rsidP="00DA71D4">
      <w:pPr>
        <w:spacing w:after="0" w:line="240" w:lineRule="auto"/>
        <w:rPr>
          <w:rFonts w:ascii="Segoe UI" w:hAnsi="Segoe UI" w:cs="Segoe UI"/>
          <w:b/>
          <w:bCs/>
          <w:sz w:val="20"/>
          <w:szCs w:val="20"/>
          <w:u w:val="single"/>
        </w:rPr>
      </w:pPr>
    </w:p>
    <w:p w14:paraId="78BA91FE" w14:textId="1DA7217E" w:rsidR="003D30A8" w:rsidRDefault="003D30A8" w:rsidP="00DA71D4">
      <w:pPr>
        <w:spacing w:after="0" w:line="240" w:lineRule="auto"/>
        <w:rPr>
          <w:rFonts w:ascii="Segoe UI" w:hAnsi="Segoe UI" w:cs="Segoe UI"/>
          <w:b/>
          <w:bCs/>
          <w:sz w:val="20"/>
          <w:szCs w:val="20"/>
          <w:u w:val="single"/>
        </w:rPr>
      </w:pPr>
    </w:p>
    <w:p w14:paraId="447B7DB0" w14:textId="07C0DCC2" w:rsidR="003D30A8" w:rsidRDefault="003D30A8" w:rsidP="00DA71D4">
      <w:pPr>
        <w:spacing w:after="0" w:line="240" w:lineRule="auto"/>
        <w:rPr>
          <w:rFonts w:ascii="Segoe UI" w:hAnsi="Segoe UI" w:cs="Segoe UI"/>
          <w:b/>
          <w:bCs/>
          <w:sz w:val="20"/>
          <w:szCs w:val="20"/>
          <w:u w:val="single"/>
        </w:rPr>
      </w:pPr>
    </w:p>
    <w:p w14:paraId="006BC375" w14:textId="371B1DBB" w:rsidR="003D30A8" w:rsidRDefault="003D30A8" w:rsidP="00DA71D4">
      <w:pPr>
        <w:spacing w:after="0" w:line="240" w:lineRule="auto"/>
        <w:rPr>
          <w:rFonts w:ascii="Segoe UI" w:hAnsi="Segoe UI" w:cs="Segoe UI"/>
          <w:b/>
          <w:bCs/>
          <w:sz w:val="20"/>
          <w:szCs w:val="20"/>
          <w:u w:val="single"/>
        </w:rPr>
      </w:pPr>
    </w:p>
    <w:p w14:paraId="52521B0E" w14:textId="77777777" w:rsidR="003D30A8" w:rsidRDefault="003D30A8" w:rsidP="00DA71D4">
      <w:pPr>
        <w:spacing w:after="0" w:line="240" w:lineRule="auto"/>
        <w:rPr>
          <w:rFonts w:ascii="Segoe UI" w:hAnsi="Segoe UI" w:cs="Segoe UI"/>
          <w:b/>
          <w:bCs/>
          <w:sz w:val="20"/>
          <w:szCs w:val="20"/>
          <w:u w:val="single"/>
        </w:rPr>
      </w:pPr>
    </w:p>
    <w:p w14:paraId="0D972B46" w14:textId="6765C3B2" w:rsidR="003D30A8" w:rsidRDefault="003D30A8" w:rsidP="00DA71D4">
      <w:pPr>
        <w:spacing w:after="0" w:line="240" w:lineRule="auto"/>
        <w:rPr>
          <w:rFonts w:ascii="Segoe UI" w:hAnsi="Segoe UI" w:cs="Segoe UI"/>
          <w:b/>
          <w:bCs/>
          <w:sz w:val="20"/>
          <w:szCs w:val="20"/>
          <w:u w:val="single"/>
        </w:rPr>
      </w:pPr>
    </w:p>
    <w:p w14:paraId="3DC758FD" w14:textId="57DB40A1" w:rsidR="003D30A8" w:rsidRDefault="003D30A8" w:rsidP="00DA71D4">
      <w:pPr>
        <w:spacing w:after="0" w:line="240" w:lineRule="auto"/>
        <w:rPr>
          <w:rFonts w:ascii="Segoe UI" w:hAnsi="Segoe UI" w:cs="Segoe UI"/>
          <w:b/>
          <w:bCs/>
          <w:sz w:val="20"/>
          <w:szCs w:val="20"/>
          <w:u w:val="single"/>
        </w:rPr>
      </w:pPr>
    </w:p>
    <w:p w14:paraId="5CD471BA" w14:textId="4FD02430" w:rsidR="003D30A8" w:rsidRDefault="003D30A8" w:rsidP="00DA71D4">
      <w:pPr>
        <w:spacing w:after="0" w:line="240" w:lineRule="auto"/>
        <w:rPr>
          <w:rFonts w:ascii="Segoe UI" w:hAnsi="Segoe UI" w:cs="Segoe UI"/>
          <w:b/>
          <w:bCs/>
          <w:sz w:val="20"/>
          <w:szCs w:val="20"/>
          <w:u w:val="single"/>
        </w:rPr>
      </w:pPr>
    </w:p>
    <w:p w14:paraId="123206CC" w14:textId="25EB0573" w:rsidR="003D30A8" w:rsidRDefault="003D30A8" w:rsidP="00DA71D4">
      <w:pPr>
        <w:spacing w:after="0" w:line="240" w:lineRule="auto"/>
        <w:rPr>
          <w:rFonts w:ascii="Segoe UI" w:hAnsi="Segoe UI" w:cs="Segoe UI"/>
          <w:b/>
          <w:bCs/>
          <w:sz w:val="20"/>
          <w:szCs w:val="20"/>
          <w:u w:val="single"/>
        </w:rPr>
      </w:pPr>
    </w:p>
    <w:p w14:paraId="177D96CA" w14:textId="3D119B0F" w:rsidR="003D30A8" w:rsidRDefault="003D30A8" w:rsidP="00DA71D4">
      <w:pPr>
        <w:spacing w:after="0" w:line="240" w:lineRule="auto"/>
        <w:rPr>
          <w:rFonts w:ascii="Segoe UI" w:hAnsi="Segoe UI" w:cs="Segoe UI"/>
          <w:b/>
          <w:bCs/>
          <w:sz w:val="20"/>
          <w:szCs w:val="20"/>
          <w:u w:val="single"/>
        </w:rPr>
      </w:pPr>
    </w:p>
    <w:p w14:paraId="6DECE7DA" w14:textId="14774814" w:rsidR="003D30A8" w:rsidRDefault="003D30A8" w:rsidP="00DA71D4">
      <w:pPr>
        <w:spacing w:after="0" w:line="240" w:lineRule="auto"/>
        <w:rPr>
          <w:rFonts w:ascii="Segoe UI" w:hAnsi="Segoe UI" w:cs="Segoe UI"/>
          <w:b/>
          <w:bCs/>
          <w:sz w:val="20"/>
          <w:szCs w:val="20"/>
          <w:u w:val="single"/>
        </w:rPr>
      </w:pPr>
    </w:p>
    <w:p w14:paraId="4C0CCD91" w14:textId="77777777" w:rsidR="003D30A8" w:rsidRDefault="003D30A8" w:rsidP="00DA71D4">
      <w:pPr>
        <w:spacing w:after="0" w:line="240" w:lineRule="auto"/>
        <w:rPr>
          <w:rFonts w:ascii="Segoe UI" w:hAnsi="Segoe UI" w:cs="Segoe UI"/>
          <w:b/>
          <w:bCs/>
          <w:sz w:val="20"/>
          <w:szCs w:val="20"/>
          <w:u w:val="single"/>
        </w:rPr>
      </w:pPr>
    </w:p>
    <w:p w14:paraId="42AEC6E1" w14:textId="77777777" w:rsidR="00534375" w:rsidRDefault="00534375" w:rsidP="00DA71D4">
      <w:pPr>
        <w:spacing w:after="0" w:line="240" w:lineRule="auto"/>
        <w:rPr>
          <w:rFonts w:ascii="Segoe UI" w:hAnsi="Segoe UI" w:cs="Segoe UI"/>
          <w:b/>
          <w:bCs/>
          <w:sz w:val="20"/>
          <w:szCs w:val="20"/>
          <w:u w:val="single"/>
        </w:rPr>
      </w:pPr>
    </w:p>
    <w:p w14:paraId="63D92875" w14:textId="207C7D2A" w:rsidR="003F620F" w:rsidRPr="00A4218E" w:rsidRDefault="003F620F" w:rsidP="00DA71D4">
      <w:pPr>
        <w:spacing w:after="0" w:line="240" w:lineRule="auto"/>
        <w:rPr>
          <w:rFonts w:ascii="Segoe UI" w:hAnsi="Segoe UI" w:cs="Segoe UI"/>
          <w:b/>
          <w:bCs/>
          <w:sz w:val="20"/>
          <w:szCs w:val="20"/>
          <w:u w:val="single"/>
        </w:rPr>
      </w:pPr>
    </w:p>
    <w:p w14:paraId="21ABDCD3" w14:textId="19FAC53E" w:rsidR="003D30A8" w:rsidRDefault="003D30A8" w:rsidP="00DA71D4">
      <w:pPr>
        <w:spacing w:after="0" w:line="240" w:lineRule="auto"/>
        <w:rPr>
          <w:rFonts w:ascii="Segoe UI" w:hAnsi="Segoe UI" w:cs="Segoe UI"/>
          <w:b/>
          <w:bCs/>
          <w:sz w:val="20"/>
          <w:szCs w:val="20"/>
          <w:u w:val="single"/>
        </w:rPr>
      </w:pPr>
    </w:p>
    <w:p w14:paraId="446DA51A" w14:textId="3D63BE85" w:rsidR="00E139CC" w:rsidRDefault="00E139CC" w:rsidP="00DA71D4">
      <w:pPr>
        <w:spacing w:after="0" w:line="240" w:lineRule="auto"/>
        <w:rPr>
          <w:rFonts w:ascii="Segoe UI" w:hAnsi="Segoe UI" w:cs="Segoe UI"/>
          <w:b/>
          <w:bCs/>
          <w:sz w:val="20"/>
          <w:szCs w:val="20"/>
          <w:u w:val="single"/>
        </w:rPr>
      </w:pPr>
    </w:p>
    <w:p w14:paraId="3690D99F" w14:textId="6DF9726A" w:rsidR="00E139CC" w:rsidRDefault="00E139CC" w:rsidP="00DA71D4">
      <w:pPr>
        <w:spacing w:after="0" w:line="240" w:lineRule="auto"/>
        <w:rPr>
          <w:rFonts w:ascii="Segoe UI" w:hAnsi="Segoe UI" w:cs="Segoe UI"/>
          <w:b/>
          <w:bCs/>
          <w:sz w:val="20"/>
          <w:szCs w:val="20"/>
          <w:u w:val="single"/>
        </w:rPr>
      </w:pPr>
    </w:p>
    <w:p w14:paraId="15A73B8E" w14:textId="4BA4718E" w:rsidR="00E139CC" w:rsidRDefault="00E139CC" w:rsidP="00DA71D4">
      <w:pPr>
        <w:spacing w:after="0" w:line="240" w:lineRule="auto"/>
        <w:rPr>
          <w:rFonts w:ascii="Segoe UI" w:hAnsi="Segoe UI" w:cs="Segoe UI"/>
          <w:b/>
          <w:bCs/>
          <w:sz w:val="20"/>
          <w:szCs w:val="20"/>
          <w:u w:val="single"/>
        </w:rPr>
      </w:pPr>
    </w:p>
    <w:p w14:paraId="383F2244" w14:textId="69125687" w:rsidR="00E139CC" w:rsidRDefault="00E139CC" w:rsidP="00DA71D4">
      <w:pPr>
        <w:spacing w:after="0" w:line="240" w:lineRule="auto"/>
        <w:rPr>
          <w:rFonts w:ascii="Segoe UI" w:hAnsi="Segoe UI" w:cs="Segoe UI"/>
          <w:b/>
          <w:bCs/>
          <w:sz w:val="20"/>
          <w:szCs w:val="20"/>
          <w:u w:val="single"/>
        </w:rPr>
      </w:pPr>
    </w:p>
    <w:p w14:paraId="7F8E7259" w14:textId="77777777" w:rsidR="00E139CC" w:rsidRDefault="00E139CC" w:rsidP="00DA71D4">
      <w:pPr>
        <w:spacing w:after="0" w:line="240" w:lineRule="auto"/>
        <w:rPr>
          <w:rFonts w:ascii="Segoe UI" w:hAnsi="Segoe UI" w:cs="Segoe UI"/>
          <w:b/>
          <w:bCs/>
          <w:sz w:val="20"/>
          <w:szCs w:val="20"/>
          <w:u w:val="single"/>
        </w:rPr>
      </w:pPr>
    </w:p>
    <w:p w14:paraId="0687A913" w14:textId="265059DD" w:rsidR="003D30A8" w:rsidRDefault="003D30A8" w:rsidP="00DA71D4">
      <w:pPr>
        <w:spacing w:after="0" w:line="240" w:lineRule="auto"/>
        <w:rPr>
          <w:rFonts w:ascii="Segoe UI" w:hAnsi="Segoe UI" w:cs="Segoe UI"/>
          <w:b/>
          <w:bCs/>
          <w:sz w:val="20"/>
          <w:szCs w:val="20"/>
          <w:u w:val="single"/>
        </w:rPr>
      </w:pPr>
      <w:r w:rsidRPr="003D30A8">
        <w:rPr>
          <w:rFonts w:ascii="Segoe UI" w:hAnsi="Segoe UI" w:cs="Segoe UI"/>
          <w:b/>
          <w:bCs/>
          <w:noProof/>
          <w:sz w:val="20"/>
          <w:szCs w:val="20"/>
          <w:u w:val="single"/>
        </w:rPr>
        <w:drawing>
          <wp:anchor distT="0" distB="0" distL="114300" distR="114300" simplePos="0" relativeHeight="251659264" behindDoc="0" locked="0" layoutInCell="1" allowOverlap="1" wp14:anchorId="7F71AFAD" wp14:editId="64526C15">
            <wp:simplePos x="0" y="0"/>
            <wp:positionH relativeFrom="column">
              <wp:posOffset>22123</wp:posOffset>
            </wp:positionH>
            <wp:positionV relativeFrom="paragraph">
              <wp:posOffset>-143104</wp:posOffset>
            </wp:positionV>
            <wp:extent cx="6660515" cy="1630045"/>
            <wp:effectExtent l="0" t="0" r="6985" b="825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660515" cy="1630045"/>
                    </a:xfrm>
                    <a:prstGeom prst="rect">
                      <a:avLst/>
                    </a:prstGeom>
                  </pic:spPr>
                </pic:pic>
              </a:graphicData>
            </a:graphic>
            <wp14:sizeRelH relativeFrom="page">
              <wp14:pctWidth>0</wp14:pctWidth>
            </wp14:sizeRelH>
            <wp14:sizeRelV relativeFrom="page">
              <wp14:pctHeight>0</wp14:pctHeight>
            </wp14:sizeRelV>
          </wp:anchor>
        </w:drawing>
      </w:r>
    </w:p>
    <w:p w14:paraId="298EB933" w14:textId="77777777" w:rsidR="003D30A8" w:rsidRDefault="003D30A8" w:rsidP="00DA71D4">
      <w:pPr>
        <w:spacing w:after="0" w:line="240" w:lineRule="auto"/>
        <w:rPr>
          <w:rFonts w:ascii="Segoe UI" w:hAnsi="Segoe UI" w:cs="Segoe UI"/>
          <w:b/>
          <w:bCs/>
          <w:sz w:val="20"/>
          <w:szCs w:val="20"/>
          <w:u w:val="single"/>
        </w:rPr>
      </w:pPr>
    </w:p>
    <w:p w14:paraId="0798BC5E" w14:textId="19A10CE0" w:rsidR="003D30A8" w:rsidRDefault="003D30A8" w:rsidP="00DA71D4">
      <w:pPr>
        <w:spacing w:after="0" w:line="240" w:lineRule="auto"/>
        <w:rPr>
          <w:rFonts w:ascii="Segoe UI" w:hAnsi="Segoe UI" w:cs="Segoe UI"/>
          <w:b/>
          <w:bCs/>
          <w:sz w:val="20"/>
          <w:szCs w:val="20"/>
          <w:u w:val="single"/>
        </w:rPr>
      </w:pPr>
    </w:p>
    <w:p w14:paraId="5277A485" w14:textId="52EF7688" w:rsidR="00E139CC" w:rsidRDefault="00E139CC" w:rsidP="00DA71D4">
      <w:pPr>
        <w:spacing w:after="0" w:line="240" w:lineRule="auto"/>
        <w:rPr>
          <w:rFonts w:ascii="Segoe UI" w:hAnsi="Segoe UI" w:cs="Segoe UI"/>
          <w:b/>
          <w:bCs/>
          <w:sz w:val="20"/>
          <w:szCs w:val="20"/>
          <w:u w:val="single"/>
        </w:rPr>
      </w:pPr>
    </w:p>
    <w:p w14:paraId="47A30EAE" w14:textId="557709CB" w:rsidR="00E139CC" w:rsidRDefault="00E139CC" w:rsidP="00DA71D4">
      <w:pPr>
        <w:spacing w:after="0" w:line="240" w:lineRule="auto"/>
        <w:rPr>
          <w:rFonts w:ascii="Segoe UI" w:hAnsi="Segoe UI" w:cs="Segoe UI"/>
          <w:b/>
          <w:bCs/>
          <w:sz w:val="20"/>
          <w:szCs w:val="20"/>
          <w:u w:val="single"/>
        </w:rPr>
      </w:pPr>
    </w:p>
    <w:p w14:paraId="52BF8FC1" w14:textId="77777777" w:rsidR="00E139CC" w:rsidRDefault="00E139CC" w:rsidP="00DA71D4">
      <w:pPr>
        <w:spacing w:after="0" w:line="240" w:lineRule="auto"/>
        <w:rPr>
          <w:rFonts w:ascii="Segoe UI" w:hAnsi="Segoe UI" w:cs="Segoe UI"/>
          <w:b/>
          <w:bCs/>
          <w:sz w:val="20"/>
          <w:szCs w:val="20"/>
          <w:u w:val="single"/>
        </w:rPr>
      </w:pPr>
    </w:p>
    <w:p w14:paraId="6DFCCF4F" w14:textId="520EFFCB" w:rsidR="003D30A8" w:rsidRDefault="003D30A8" w:rsidP="00DA71D4">
      <w:pPr>
        <w:spacing w:after="0" w:line="240" w:lineRule="auto"/>
        <w:rPr>
          <w:rFonts w:ascii="Segoe UI" w:hAnsi="Segoe UI" w:cs="Segoe UI"/>
          <w:b/>
          <w:bCs/>
          <w:sz w:val="20"/>
          <w:szCs w:val="20"/>
          <w:u w:val="single"/>
        </w:rPr>
      </w:pPr>
      <w:r w:rsidRPr="003D30A8">
        <w:rPr>
          <w:rFonts w:ascii="Segoe UI" w:hAnsi="Segoe UI" w:cs="Segoe UI"/>
          <w:b/>
          <w:bCs/>
          <w:noProof/>
          <w:sz w:val="20"/>
          <w:szCs w:val="20"/>
          <w:u w:val="single"/>
        </w:rPr>
        <w:drawing>
          <wp:anchor distT="0" distB="0" distL="114300" distR="114300" simplePos="0" relativeHeight="251660288" behindDoc="0" locked="0" layoutInCell="1" allowOverlap="1" wp14:anchorId="76AF97B2" wp14:editId="67AD03F8">
            <wp:simplePos x="0" y="0"/>
            <wp:positionH relativeFrom="margin">
              <wp:posOffset>-50267</wp:posOffset>
            </wp:positionH>
            <wp:positionV relativeFrom="paragraph">
              <wp:posOffset>56566</wp:posOffset>
            </wp:positionV>
            <wp:extent cx="6744615" cy="944823"/>
            <wp:effectExtent l="0" t="0" r="0" b="8255"/>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865794" cy="961798"/>
                    </a:xfrm>
                    <a:prstGeom prst="rect">
                      <a:avLst/>
                    </a:prstGeom>
                  </pic:spPr>
                </pic:pic>
              </a:graphicData>
            </a:graphic>
            <wp14:sizeRelH relativeFrom="page">
              <wp14:pctWidth>0</wp14:pctWidth>
            </wp14:sizeRelH>
            <wp14:sizeRelV relativeFrom="page">
              <wp14:pctHeight>0</wp14:pctHeight>
            </wp14:sizeRelV>
          </wp:anchor>
        </w:drawing>
      </w:r>
    </w:p>
    <w:p w14:paraId="11651609" w14:textId="1D9DDEF7" w:rsidR="003D30A8" w:rsidRDefault="003D30A8" w:rsidP="00DA71D4">
      <w:pPr>
        <w:spacing w:after="0" w:line="240" w:lineRule="auto"/>
        <w:rPr>
          <w:rFonts w:ascii="Segoe UI" w:hAnsi="Segoe UI" w:cs="Segoe UI"/>
          <w:b/>
          <w:bCs/>
          <w:sz w:val="20"/>
          <w:szCs w:val="20"/>
          <w:u w:val="single"/>
        </w:rPr>
      </w:pPr>
    </w:p>
    <w:p w14:paraId="37FE7AB1" w14:textId="77777777" w:rsidR="003D30A8" w:rsidRDefault="003D30A8" w:rsidP="00DA71D4">
      <w:pPr>
        <w:spacing w:after="0" w:line="240" w:lineRule="auto"/>
        <w:rPr>
          <w:rFonts w:ascii="Segoe UI" w:hAnsi="Segoe UI" w:cs="Segoe UI"/>
          <w:b/>
          <w:bCs/>
          <w:sz w:val="20"/>
          <w:szCs w:val="20"/>
          <w:u w:val="single"/>
        </w:rPr>
      </w:pPr>
    </w:p>
    <w:p w14:paraId="29A30D3D" w14:textId="77777777" w:rsidR="003D30A8" w:rsidRDefault="003D30A8" w:rsidP="00DA71D4">
      <w:pPr>
        <w:spacing w:after="0" w:line="240" w:lineRule="auto"/>
        <w:rPr>
          <w:rFonts w:ascii="Segoe UI" w:hAnsi="Segoe UI" w:cs="Segoe UI"/>
          <w:b/>
          <w:bCs/>
          <w:sz w:val="20"/>
          <w:szCs w:val="20"/>
          <w:u w:val="single"/>
        </w:rPr>
      </w:pPr>
    </w:p>
    <w:p w14:paraId="7A06108C" w14:textId="77777777" w:rsidR="003D30A8" w:rsidRDefault="003D30A8" w:rsidP="00DA71D4">
      <w:pPr>
        <w:spacing w:after="0" w:line="240" w:lineRule="auto"/>
        <w:rPr>
          <w:rFonts w:ascii="Segoe UI" w:hAnsi="Segoe UI" w:cs="Segoe UI"/>
          <w:b/>
          <w:bCs/>
          <w:sz w:val="20"/>
          <w:szCs w:val="20"/>
          <w:u w:val="single"/>
        </w:rPr>
      </w:pPr>
    </w:p>
    <w:p w14:paraId="3B726898" w14:textId="77777777" w:rsidR="003D30A8" w:rsidRDefault="003D30A8" w:rsidP="00DA71D4">
      <w:pPr>
        <w:spacing w:after="0" w:line="240" w:lineRule="auto"/>
        <w:rPr>
          <w:rFonts w:ascii="Segoe UI" w:hAnsi="Segoe UI" w:cs="Segoe UI"/>
          <w:b/>
          <w:bCs/>
          <w:sz w:val="20"/>
          <w:szCs w:val="20"/>
          <w:u w:val="single"/>
        </w:rPr>
      </w:pPr>
    </w:p>
    <w:p w14:paraId="687C72D8" w14:textId="77777777" w:rsidR="003D30A8" w:rsidRDefault="003D30A8" w:rsidP="00040A06">
      <w:pPr>
        <w:spacing w:after="0" w:line="240" w:lineRule="auto"/>
        <w:rPr>
          <w:rFonts w:ascii="Segoe UI" w:hAnsi="Segoe UI" w:cs="Segoe UI"/>
          <w:b/>
          <w:bCs/>
          <w:sz w:val="20"/>
          <w:szCs w:val="20"/>
          <w:u w:val="single"/>
        </w:rPr>
      </w:pPr>
    </w:p>
    <w:p w14:paraId="03391867" w14:textId="43D549C9" w:rsidR="00040A06" w:rsidRPr="00A4218E" w:rsidRDefault="00040A06" w:rsidP="00040A06">
      <w:pPr>
        <w:spacing w:after="0" w:line="240" w:lineRule="auto"/>
        <w:rPr>
          <w:rFonts w:ascii="Segoe UI" w:hAnsi="Segoe UI" w:cs="Segoe UI"/>
          <w:b/>
          <w:bCs/>
          <w:sz w:val="20"/>
          <w:szCs w:val="20"/>
          <w:u w:val="single"/>
        </w:rPr>
      </w:pPr>
      <w:r w:rsidRPr="00A4218E">
        <w:rPr>
          <w:rFonts w:ascii="Segoe UI" w:hAnsi="Segoe UI" w:cs="Segoe UI"/>
          <w:b/>
          <w:bCs/>
          <w:sz w:val="20"/>
          <w:szCs w:val="20"/>
          <w:u w:val="single"/>
        </w:rPr>
        <w:t>Annexe n°</w:t>
      </w:r>
      <w:r w:rsidR="001218AC" w:rsidRPr="00A4218E">
        <w:rPr>
          <w:rFonts w:ascii="Segoe UI" w:hAnsi="Segoe UI" w:cs="Segoe UI"/>
          <w:b/>
          <w:bCs/>
          <w:sz w:val="20"/>
          <w:szCs w:val="20"/>
          <w:u w:val="single"/>
        </w:rPr>
        <w:t>3</w:t>
      </w:r>
      <w:r w:rsidRPr="00A4218E">
        <w:rPr>
          <w:rFonts w:ascii="Segoe UI" w:hAnsi="Segoe UI" w:cs="Segoe UI"/>
          <w:b/>
          <w:bCs/>
          <w:sz w:val="20"/>
          <w:szCs w:val="20"/>
          <w:u w:val="single"/>
        </w:rPr>
        <w:t xml:space="preserve"> : </w:t>
      </w:r>
      <w:proofErr w:type="spellStart"/>
      <w:r w:rsidRPr="00A4218E">
        <w:rPr>
          <w:rFonts w:ascii="Segoe UI" w:hAnsi="Segoe UI" w:cs="Segoe UI"/>
          <w:b/>
          <w:bCs/>
          <w:i/>
          <w:iCs/>
          <w:sz w:val="20"/>
          <w:szCs w:val="20"/>
          <w:u w:val="single"/>
        </w:rPr>
        <w:t>Payment</w:t>
      </w:r>
      <w:proofErr w:type="spellEnd"/>
      <w:r w:rsidRPr="00A4218E">
        <w:rPr>
          <w:rFonts w:ascii="Segoe UI" w:hAnsi="Segoe UI" w:cs="Segoe UI"/>
          <w:b/>
          <w:bCs/>
          <w:i/>
          <w:iCs/>
          <w:sz w:val="20"/>
          <w:szCs w:val="20"/>
          <w:u w:val="single"/>
        </w:rPr>
        <w:t xml:space="preserve"> Services </w:t>
      </w:r>
      <w:proofErr w:type="spellStart"/>
      <w:r w:rsidRPr="00A4218E">
        <w:rPr>
          <w:rFonts w:ascii="Segoe UI" w:hAnsi="Segoe UI" w:cs="Segoe UI"/>
          <w:b/>
          <w:bCs/>
          <w:i/>
          <w:iCs/>
          <w:sz w:val="20"/>
          <w:szCs w:val="20"/>
          <w:u w:val="single"/>
        </w:rPr>
        <w:t>Act</w:t>
      </w:r>
      <w:proofErr w:type="spellEnd"/>
      <w:r w:rsidRPr="00A4218E">
        <w:rPr>
          <w:rFonts w:ascii="Segoe UI" w:hAnsi="Segoe UI" w:cs="Segoe UI"/>
          <w:b/>
          <w:bCs/>
          <w:i/>
          <w:iCs/>
          <w:sz w:val="20"/>
          <w:szCs w:val="20"/>
          <w:u w:val="single"/>
        </w:rPr>
        <w:t xml:space="preserve">, </w:t>
      </w:r>
      <w:r w:rsidRPr="00A4218E">
        <w:rPr>
          <w:rFonts w:ascii="Segoe UI" w:hAnsi="Segoe UI" w:cs="Segoe UI"/>
          <w:b/>
          <w:bCs/>
          <w:sz w:val="20"/>
          <w:szCs w:val="20"/>
          <w:u w:val="single"/>
        </w:rPr>
        <w:t>Chapitre I, Article 2, Alinéa 5.</w:t>
      </w:r>
      <w:r w:rsidRPr="00A4218E">
        <w:rPr>
          <w:rFonts w:ascii="Segoe UI" w:hAnsi="Segoe UI" w:cs="Segoe UI"/>
          <w:b/>
          <w:bCs/>
          <w:i/>
          <w:iCs/>
          <w:sz w:val="20"/>
          <w:szCs w:val="20"/>
          <w:u w:val="single"/>
        </w:rPr>
        <w:t xml:space="preserve">  </w:t>
      </w:r>
    </w:p>
    <w:p w14:paraId="4069CC22" w14:textId="77777777" w:rsidR="00040A06" w:rsidRPr="00A4218E" w:rsidRDefault="00040A06" w:rsidP="00040A06">
      <w:pPr>
        <w:spacing w:after="0" w:line="240" w:lineRule="auto"/>
        <w:rPr>
          <w:rFonts w:ascii="Segoe UI" w:hAnsi="Segoe UI" w:cs="Segoe UI"/>
          <w:sz w:val="20"/>
          <w:szCs w:val="20"/>
        </w:rPr>
      </w:pPr>
    </w:p>
    <w:p w14:paraId="35C90E58" w14:textId="77777777" w:rsidR="00040A06" w:rsidRPr="00A4218E" w:rsidRDefault="00040A06" w:rsidP="00040A06">
      <w:pPr>
        <w:tabs>
          <w:tab w:val="left" w:pos="1410"/>
        </w:tabs>
        <w:rPr>
          <w:rFonts w:ascii="Segoe UI" w:hAnsi="Segoe UI" w:cs="Segoe UI"/>
          <w:sz w:val="20"/>
          <w:szCs w:val="20"/>
          <w:u w:val="single"/>
        </w:rPr>
      </w:pPr>
      <w:r w:rsidRPr="00A4218E">
        <w:rPr>
          <w:rFonts w:ascii="Segoe UI" w:hAnsi="Segoe UI" w:cs="Segoe UI"/>
          <w:sz w:val="20"/>
          <w:szCs w:val="20"/>
          <w:u w:val="single"/>
        </w:rPr>
        <w:t xml:space="preserve">Définition juridique d’un cryptoactif : </w:t>
      </w:r>
    </w:p>
    <w:p w14:paraId="7D381637" w14:textId="1504C972" w:rsidR="00040A06" w:rsidRPr="00A4218E" w:rsidRDefault="00040A06" w:rsidP="00040A06">
      <w:pPr>
        <w:tabs>
          <w:tab w:val="left" w:pos="1410"/>
        </w:tabs>
        <w:jc w:val="both"/>
        <w:rPr>
          <w:rFonts w:ascii="Segoe UI" w:hAnsi="Segoe UI" w:cs="Segoe UI"/>
          <w:sz w:val="20"/>
          <w:szCs w:val="20"/>
        </w:rPr>
      </w:pPr>
      <w:r w:rsidRPr="00A4218E">
        <w:rPr>
          <w:rFonts w:ascii="Segoe UI" w:hAnsi="Segoe UI" w:cs="Segoe UI"/>
          <w:sz w:val="20"/>
          <w:szCs w:val="20"/>
        </w:rPr>
        <w:t>« Le terme "</w:t>
      </w:r>
      <w:r w:rsidR="009F5EED">
        <w:rPr>
          <w:rFonts w:ascii="Segoe UI" w:hAnsi="Segoe UI" w:cs="Segoe UI"/>
          <w:sz w:val="20"/>
          <w:szCs w:val="20"/>
        </w:rPr>
        <w:t>cryptoactif</w:t>
      </w:r>
      <w:r w:rsidRPr="00A4218E">
        <w:rPr>
          <w:rFonts w:ascii="Segoe UI" w:hAnsi="Segoe UI" w:cs="Segoe UI"/>
          <w:sz w:val="20"/>
          <w:szCs w:val="20"/>
        </w:rPr>
        <w:t xml:space="preserve">s", tel qu'il est utilisé dans la présente loi, désigne l'un des éléments suivants ; à condition, toutefois, d'exclure ceux indiquant des droits transférables enregistrés électroniquement (ERTR), prescrits à l'article 2, paragraphe (3) du </w:t>
      </w:r>
      <w:r w:rsidRPr="00A4218E">
        <w:rPr>
          <w:rFonts w:ascii="Segoe UI" w:hAnsi="Segoe UI" w:cs="Segoe UI"/>
          <w:i/>
          <w:iCs/>
          <w:sz w:val="20"/>
          <w:szCs w:val="20"/>
        </w:rPr>
        <w:t xml:space="preserve">Financial Instruments and Exchange </w:t>
      </w:r>
      <w:proofErr w:type="spellStart"/>
      <w:r w:rsidRPr="00A4218E">
        <w:rPr>
          <w:rFonts w:ascii="Segoe UI" w:hAnsi="Segoe UI" w:cs="Segoe UI"/>
          <w:i/>
          <w:iCs/>
          <w:sz w:val="20"/>
          <w:szCs w:val="20"/>
        </w:rPr>
        <w:t>Act</w:t>
      </w:r>
      <w:proofErr w:type="spellEnd"/>
      <w:r w:rsidRPr="00A4218E">
        <w:rPr>
          <w:rFonts w:ascii="Segoe UI" w:hAnsi="Segoe UI" w:cs="Segoe UI"/>
          <w:sz w:val="20"/>
          <w:szCs w:val="20"/>
        </w:rPr>
        <w:t xml:space="preserve"> (loi n° 25 de 1948) :</w:t>
      </w:r>
    </w:p>
    <w:p w14:paraId="6BB92A6C" w14:textId="77777777" w:rsidR="00040A06" w:rsidRPr="00A4218E" w:rsidRDefault="00040A06" w:rsidP="00040A06">
      <w:pPr>
        <w:pStyle w:val="Paragraphedeliste"/>
        <w:numPr>
          <w:ilvl w:val="0"/>
          <w:numId w:val="31"/>
        </w:numPr>
        <w:tabs>
          <w:tab w:val="left" w:pos="1410"/>
        </w:tabs>
        <w:jc w:val="both"/>
        <w:rPr>
          <w:rFonts w:ascii="Segoe UI" w:hAnsi="Segoe UI" w:cs="Segoe UI"/>
          <w:sz w:val="20"/>
          <w:szCs w:val="20"/>
        </w:rPr>
      </w:pPr>
      <w:r w:rsidRPr="00A4218E">
        <w:rPr>
          <w:rFonts w:ascii="Segoe UI" w:hAnsi="Segoe UI" w:cs="Segoe UI"/>
          <w:sz w:val="20"/>
          <w:szCs w:val="20"/>
        </w:rPr>
        <w:t>la valeur des biens (limitée à ce qui est enregistré sur un dispositif électronique ou tout autre objet par des moyens électroniques, et à l'exclusion de la monnaie japonaise, des devises étrangères et des actifs libellés en devises ; il en va de même pour le poste suivant) qui peuvent être utilisés en relation avec des personnes non spécifiées aux fins du paiement d'une contrepartie pour l'achat ou la location de biens ou la réception d'une prestation de services et qui peuvent également être achetés et vendus à des personnes non spécifiées agissant en tant que contreparties, et qui peuvent être transférés au moyen d'un système électronique de traitement des données ; et</w:t>
      </w:r>
    </w:p>
    <w:p w14:paraId="399D678C" w14:textId="77777777" w:rsidR="00040A06" w:rsidRPr="00A4218E" w:rsidRDefault="00040A06" w:rsidP="00040A06">
      <w:pPr>
        <w:pStyle w:val="Paragraphedeliste"/>
        <w:tabs>
          <w:tab w:val="left" w:pos="1410"/>
        </w:tabs>
        <w:ind w:left="862"/>
        <w:jc w:val="both"/>
        <w:rPr>
          <w:rFonts w:ascii="Segoe UI" w:hAnsi="Segoe UI" w:cs="Segoe UI"/>
          <w:sz w:val="14"/>
          <w:szCs w:val="14"/>
        </w:rPr>
      </w:pPr>
    </w:p>
    <w:p w14:paraId="53C077DB" w14:textId="038140C7" w:rsidR="00534375" w:rsidRPr="004A7B48" w:rsidRDefault="00040A06" w:rsidP="004A7B48">
      <w:pPr>
        <w:pStyle w:val="Paragraphedeliste"/>
        <w:numPr>
          <w:ilvl w:val="0"/>
          <w:numId w:val="31"/>
        </w:numPr>
        <w:tabs>
          <w:tab w:val="left" w:pos="1410"/>
        </w:tabs>
        <w:jc w:val="both"/>
        <w:rPr>
          <w:rFonts w:ascii="Segoe UI" w:hAnsi="Segoe UI" w:cs="Segoe UI"/>
          <w:sz w:val="20"/>
          <w:szCs w:val="20"/>
        </w:rPr>
      </w:pPr>
      <w:r w:rsidRPr="00A4218E">
        <w:rPr>
          <w:rFonts w:ascii="Segoe UI" w:hAnsi="Segoe UI" w:cs="Segoe UI"/>
          <w:sz w:val="20"/>
          <w:szCs w:val="20"/>
        </w:rPr>
        <w:t>la valeur des biens qui peuvent être mutuellement échangés avec ce qui est indiqué au point précédent avec des personnes non spécifiées agissant comme contreparties, et qui peuvent être transférés au moyen d'un système électronique de traitement des données ».</w:t>
      </w:r>
    </w:p>
    <w:p w14:paraId="74D358CD" w14:textId="3F2F51F1" w:rsidR="00C860E3" w:rsidRPr="00A4218E" w:rsidRDefault="00C860E3" w:rsidP="00C860E3">
      <w:pPr>
        <w:tabs>
          <w:tab w:val="left" w:pos="2149"/>
        </w:tabs>
        <w:spacing w:after="0" w:line="240" w:lineRule="auto"/>
        <w:rPr>
          <w:rFonts w:ascii="Segoe UI" w:hAnsi="Segoe UI" w:cs="Segoe UI"/>
          <w:b/>
          <w:bCs/>
          <w:sz w:val="20"/>
          <w:szCs w:val="20"/>
          <w:u w:val="single"/>
          <w:shd w:val="clear" w:color="auto" w:fill="FBFBFB"/>
        </w:rPr>
      </w:pPr>
      <w:r w:rsidRPr="00A4218E">
        <w:rPr>
          <w:rFonts w:ascii="Segoe UI" w:hAnsi="Segoe UI" w:cs="Segoe UI"/>
          <w:b/>
          <w:bCs/>
          <w:sz w:val="20"/>
          <w:szCs w:val="20"/>
          <w:u w:val="single"/>
          <w:shd w:val="clear" w:color="auto" w:fill="FBFBFB"/>
        </w:rPr>
        <w:t>Annexe n°</w:t>
      </w:r>
      <w:r w:rsidR="001218AC" w:rsidRPr="00A4218E">
        <w:rPr>
          <w:rFonts w:ascii="Segoe UI" w:hAnsi="Segoe UI" w:cs="Segoe UI"/>
          <w:b/>
          <w:bCs/>
          <w:sz w:val="20"/>
          <w:szCs w:val="20"/>
          <w:u w:val="single"/>
          <w:shd w:val="clear" w:color="auto" w:fill="FBFBFB"/>
        </w:rPr>
        <w:t>4</w:t>
      </w:r>
      <w:r w:rsidRPr="00A4218E">
        <w:rPr>
          <w:rFonts w:ascii="Segoe UI" w:hAnsi="Segoe UI" w:cs="Segoe UI"/>
          <w:b/>
          <w:bCs/>
          <w:sz w:val="20"/>
          <w:szCs w:val="20"/>
          <w:u w:val="single"/>
          <w:shd w:val="clear" w:color="auto" w:fill="FBFBFB"/>
        </w:rPr>
        <w:t xml:space="preserve"> : </w:t>
      </w:r>
      <w:r w:rsidR="00D902BD">
        <w:rPr>
          <w:rFonts w:ascii="Segoe UI" w:hAnsi="Segoe UI" w:cs="Segoe UI"/>
          <w:b/>
          <w:bCs/>
          <w:sz w:val="20"/>
          <w:szCs w:val="20"/>
          <w:u w:val="single"/>
          <w:shd w:val="clear" w:color="auto" w:fill="FBFBFB"/>
        </w:rPr>
        <w:t>C</w:t>
      </w:r>
      <w:r w:rsidRPr="00A4218E">
        <w:rPr>
          <w:rFonts w:ascii="Segoe UI" w:hAnsi="Segoe UI" w:cs="Segoe UI"/>
          <w:b/>
          <w:bCs/>
          <w:sz w:val="20"/>
          <w:szCs w:val="20"/>
          <w:u w:val="single"/>
          <w:shd w:val="clear" w:color="auto" w:fill="FBFBFB"/>
        </w:rPr>
        <w:t xml:space="preserve">omparatif des </w:t>
      </w:r>
      <w:r w:rsidR="009F5EED">
        <w:rPr>
          <w:rFonts w:ascii="Segoe UI" w:hAnsi="Segoe UI" w:cs="Segoe UI"/>
          <w:b/>
          <w:bCs/>
          <w:sz w:val="20"/>
          <w:szCs w:val="20"/>
          <w:u w:val="single"/>
          <w:shd w:val="clear" w:color="auto" w:fill="FBFBFB"/>
        </w:rPr>
        <w:t>cryptoactif</w:t>
      </w:r>
      <w:r w:rsidRPr="00A4218E">
        <w:rPr>
          <w:rFonts w:ascii="Segoe UI" w:hAnsi="Segoe UI" w:cs="Segoe UI"/>
          <w:b/>
          <w:bCs/>
          <w:sz w:val="20"/>
          <w:szCs w:val="20"/>
          <w:u w:val="single"/>
          <w:shd w:val="clear" w:color="auto" w:fill="FBFBFB"/>
        </w:rPr>
        <w:t>s et de leur statut légal au Japon</w:t>
      </w:r>
    </w:p>
    <w:p w14:paraId="6B0298C5" w14:textId="77777777" w:rsidR="00C860E3" w:rsidRPr="00A4218E" w:rsidRDefault="00C860E3" w:rsidP="00C860E3">
      <w:pPr>
        <w:tabs>
          <w:tab w:val="left" w:pos="2149"/>
        </w:tabs>
        <w:spacing w:after="0" w:line="240" w:lineRule="auto"/>
        <w:rPr>
          <w:rFonts w:ascii="Segoe UI" w:hAnsi="Segoe UI" w:cs="Segoe UI"/>
          <w:b/>
          <w:bCs/>
          <w:color w:val="333333"/>
          <w:sz w:val="20"/>
          <w:szCs w:val="20"/>
          <w:u w:val="single"/>
          <w:shd w:val="clear" w:color="auto" w:fill="FBFBFB"/>
        </w:rPr>
      </w:pPr>
    </w:p>
    <w:p w14:paraId="5DABB7C6" w14:textId="228435D7" w:rsidR="00C860E3" w:rsidRPr="00A4218E" w:rsidRDefault="008B6A81" w:rsidP="00C860E3">
      <w:pPr>
        <w:pStyle w:val="Paragraphedeliste"/>
        <w:numPr>
          <w:ilvl w:val="0"/>
          <w:numId w:val="42"/>
        </w:numPr>
        <w:spacing w:after="0" w:line="240" w:lineRule="auto"/>
        <w:jc w:val="both"/>
        <w:rPr>
          <w:rFonts w:ascii="Segoe UI" w:hAnsi="Segoe UI" w:cs="Segoe UI"/>
          <w:sz w:val="20"/>
          <w:szCs w:val="20"/>
          <w:u w:val="single"/>
        </w:rPr>
      </w:pPr>
      <w:r>
        <w:rPr>
          <w:rFonts w:ascii="Segoe UI" w:hAnsi="Segoe UI" w:cs="Segoe UI"/>
          <w:b/>
          <w:bCs/>
          <w:sz w:val="20"/>
          <w:szCs w:val="20"/>
        </w:rPr>
        <w:t>Cryptoactif</w:t>
      </w:r>
      <w:r w:rsidR="00C860E3" w:rsidRPr="00A4218E">
        <w:rPr>
          <w:rFonts w:ascii="Segoe UI" w:hAnsi="Segoe UI" w:cs="Segoe UI"/>
          <w:b/>
          <w:bCs/>
          <w:sz w:val="20"/>
          <w:szCs w:val="20"/>
        </w:rPr>
        <w:t>s (</w:t>
      </w:r>
      <w:r w:rsidR="00C860E3" w:rsidRPr="00A4218E">
        <w:rPr>
          <w:rFonts w:ascii="Segoe UI" w:hAnsi="Segoe UI" w:cs="Segoe UI"/>
          <w:b/>
          <w:bCs/>
          <w:i/>
          <w:iCs/>
          <w:sz w:val="20"/>
          <w:szCs w:val="20"/>
        </w:rPr>
        <w:t xml:space="preserve">utility </w:t>
      </w:r>
      <w:proofErr w:type="spellStart"/>
      <w:r w:rsidR="00C860E3" w:rsidRPr="00A4218E">
        <w:rPr>
          <w:rFonts w:ascii="Segoe UI" w:hAnsi="Segoe UI" w:cs="Segoe UI"/>
          <w:b/>
          <w:bCs/>
          <w:i/>
          <w:iCs/>
          <w:sz w:val="20"/>
          <w:szCs w:val="20"/>
        </w:rPr>
        <w:t>tokens</w:t>
      </w:r>
      <w:proofErr w:type="spellEnd"/>
      <w:r w:rsidR="00C860E3" w:rsidRPr="00A4218E">
        <w:rPr>
          <w:rFonts w:ascii="Segoe UI" w:hAnsi="Segoe UI" w:cs="Segoe UI"/>
          <w:b/>
          <w:bCs/>
          <w:sz w:val="20"/>
          <w:szCs w:val="20"/>
        </w:rPr>
        <w:t>) :</w:t>
      </w:r>
      <w:r w:rsidR="00C860E3" w:rsidRPr="00A4218E">
        <w:rPr>
          <w:rFonts w:ascii="Segoe UI" w:hAnsi="Segoe UI" w:cs="Segoe UI"/>
          <w:sz w:val="20"/>
          <w:szCs w:val="20"/>
        </w:rPr>
        <w:t xml:space="preserve"> conformément au </w:t>
      </w:r>
      <w:proofErr w:type="spellStart"/>
      <w:r w:rsidR="00C860E3" w:rsidRPr="00A4218E">
        <w:rPr>
          <w:rFonts w:ascii="Segoe UI" w:hAnsi="Segoe UI" w:cs="Segoe UI"/>
          <w:i/>
          <w:iCs/>
          <w:sz w:val="20"/>
          <w:szCs w:val="20"/>
        </w:rPr>
        <w:t>Payment</w:t>
      </w:r>
      <w:proofErr w:type="spellEnd"/>
      <w:r w:rsidR="00C860E3" w:rsidRPr="00A4218E">
        <w:rPr>
          <w:rFonts w:ascii="Segoe UI" w:hAnsi="Segoe UI" w:cs="Segoe UI"/>
          <w:i/>
          <w:iCs/>
          <w:sz w:val="20"/>
          <w:szCs w:val="20"/>
        </w:rPr>
        <w:t xml:space="preserve"> Services </w:t>
      </w:r>
      <w:proofErr w:type="spellStart"/>
      <w:r w:rsidR="00C860E3" w:rsidRPr="00A4218E">
        <w:rPr>
          <w:rFonts w:ascii="Segoe UI" w:hAnsi="Segoe UI" w:cs="Segoe UI"/>
          <w:i/>
          <w:iCs/>
          <w:sz w:val="20"/>
          <w:szCs w:val="20"/>
        </w:rPr>
        <w:t>Act</w:t>
      </w:r>
      <w:proofErr w:type="spellEnd"/>
      <w:r w:rsidR="00C860E3" w:rsidRPr="00A4218E">
        <w:rPr>
          <w:rFonts w:ascii="Segoe UI" w:hAnsi="Segoe UI" w:cs="Segoe UI"/>
          <w:sz w:val="20"/>
          <w:szCs w:val="20"/>
        </w:rPr>
        <w:t xml:space="preserve">, une </w:t>
      </w:r>
      <w:r>
        <w:rPr>
          <w:rFonts w:ascii="Segoe UI" w:hAnsi="Segoe UI" w:cs="Segoe UI"/>
          <w:sz w:val="20"/>
          <w:szCs w:val="20"/>
        </w:rPr>
        <w:t>cryptoactif</w:t>
      </w:r>
      <w:r w:rsidR="00C860E3" w:rsidRPr="00A4218E">
        <w:rPr>
          <w:rFonts w:ascii="Segoe UI" w:hAnsi="Segoe UI" w:cs="Segoe UI"/>
          <w:sz w:val="20"/>
          <w:szCs w:val="20"/>
        </w:rPr>
        <w:t xml:space="preserve"> est considérée comme un « </w:t>
      </w:r>
      <w:r w:rsidR="009F5EED">
        <w:rPr>
          <w:rFonts w:ascii="Segoe UI" w:hAnsi="Segoe UI" w:cs="Segoe UI"/>
          <w:b/>
          <w:bCs/>
          <w:sz w:val="20"/>
          <w:szCs w:val="20"/>
        </w:rPr>
        <w:t>cryptoactif</w:t>
      </w:r>
      <w:r w:rsidR="00C860E3" w:rsidRPr="00A4218E">
        <w:rPr>
          <w:rFonts w:ascii="Segoe UI" w:hAnsi="Segoe UI" w:cs="Segoe UI"/>
          <w:sz w:val="20"/>
          <w:szCs w:val="20"/>
        </w:rPr>
        <w:t> » dès lors qu’elle est non libellée en yen ou monnaie étrangère et utilisable comme moyen de paiement envers une personne non spécifiée.</w:t>
      </w:r>
    </w:p>
    <w:p w14:paraId="1FB60AA9" w14:textId="77777777" w:rsidR="00C860E3" w:rsidRPr="00A4218E" w:rsidRDefault="00C860E3" w:rsidP="00C860E3">
      <w:pPr>
        <w:pStyle w:val="Paragraphedeliste"/>
        <w:spacing w:after="0" w:line="240" w:lineRule="auto"/>
        <w:ind w:left="785"/>
        <w:jc w:val="both"/>
        <w:rPr>
          <w:rFonts w:ascii="Segoe UI" w:hAnsi="Segoe UI" w:cs="Segoe UI"/>
          <w:sz w:val="10"/>
          <w:szCs w:val="10"/>
          <w:u w:val="single"/>
        </w:rPr>
      </w:pPr>
    </w:p>
    <w:p w14:paraId="25C3C62B" w14:textId="77777777" w:rsidR="00C860E3" w:rsidRPr="00A4218E" w:rsidRDefault="00C860E3" w:rsidP="00C860E3">
      <w:pPr>
        <w:pStyle w:val="Paragraphedeliste"/>
        <w:numPr>
          <w:ilvl w:val="0"/>
          <w:numId w:val="42"/>
        </w:numPr>
        <w:spacing w:after="0" w:line="240" w:lineRule="auto"/>
        <w:jc w:val="both"/>
        <w:rPr>
          <w:rFonts w:ascii="Segoe UI" w:hAnsi="Segoe UI" w:cs="Segoe UI"/>
          <w:b/>
          <w:bCs/>
          <w:sz w:val="20"/>
          <w:szCs w:val="20"/>
        </w:rPr>
      </w:pPr>
      <w:r w:rsidRPr="00A4218E">
        <w:rPr>
          <w:rFonts w:ascii="Segoe UI" w:hAnsi="Segoe UI" w:cs="Segoe UI"/>
          <w:b/>
          <w:bCs/>
          <w:sz w:val="20"/>
          <w:szCs w:val="20"/>
        </w:rPr>
        <w:t>Titres (</w:t>
      </w:r>
      <w:proofErr w:type="spellStart"/>
      <w:r w:rsidRPr="00A4218E">
        <w:rPr>
          <w:rFonts w:ascii="Segoe UI" w:hAnsi="Segoe UI" w:cs="Segoe UI"/>
          <w:b/>
          <w:bCs/>
          <w:i/>
          <w:iCs/>
          <w:sz w:val="20"/>
          <w:szCs w:val="20"/>
        </w:rPr>
        <w:t>security</w:t>
      </w:r>
      <w:proofErr w:type="spellEnd"/>
      <w:r w:rsidRPr="00A4218E">
        <w:rPr>
          <w:rFonts w:ascii="Segoe UI" w:hAnsi="Segoe UI" w:cs="Segoe UI"/>
          <w:b/>
          <w:bCs/>
          <w:i/>
          <w:iCs/>
          <w:sz w:val="20"/>
          <w:szCs w:val="20"/>
        </w:rPr>
        <w:t xml:space="preserve"> </w:t>
      </w:r>
      <w:proofErr w:type="spellStart"/>
      <w:r w:rsidRPr="00A4218E">
        <w:rPr>
          <w:rFonts w:ascii="Segoe UI" w:hAnsi="Segoe UI" w:cs="Segoe UI"/>
          <w:b/>
          <w:bCs/>
          <w:i/>
          <w:iCs/>
          <w:sz w:val="20"/>
          <w:szCs w:val="20"/>
        </w:rPr>
        <w:t>tokens</w:t>
      </w:r>
      <w:proofErr w:type="spellEnd"/>
      <w:r w:rsidRPr="00A4218E">
        <w:rPr>
          <w:rFonts w:ascii="Segoe UI" w:hAnsi="Segoe UI" w:cs="Segoe UI"/>
          <w:b/>
          <w:bCs/>
          <w:sz w:val="20"/>
          <w:szCs w:val="20"/>
        </w:rPr>
        <w:t xml:space="preserve">) : </w:t>
      </w:r>
      <w:r w:rsidRPr="00A4218E">
        <w:rPr>
          <w:rFonts w:ascii="Segoe UI" w:hAnsi="Segoe UI" w:cs="Segoe UI"/>
          <w:sz w:val="20"/>
          <w:szCs w:val="20"/>
        </w:rPr>
        <w:t xml:space="preserve">conformément au </w:t>
      </w:r>
      <w:r w:rsidRPr="00A4218E">
        <w:rPr>
          <w:rFonts w:ascii="Segoe UI" w:hAnsi="Segoe UI" w:cs="Segoe UI"/>
          <w:i/>
          <w:iCs/>
          <w:sz w:val="20"/>
          <w:szCs w:val="20"/>
        </w:rPr>
        <w:t xml:space="preserve">Financial Instruments and Exchanges </w:t>
      </w:r>
      <w:proofErr w:type="spellStart"/>
      <w:r w:rsidRPr="00A4218E">
        <w:rPr>
          <w:rFonts w:ascii="Segoe UI" w:hAnsi="Segoe UI" w:cs="Segoe UI"/>
          <w:i/>
          <w:iCs/>
          <w:sz w:val="20"/>
          <w:szCs w:val="20"/>
        </w:rPr>
        <w:t>Act</w:t>
      </w:r>
      <w:proofErr w:type="spellEnd"/>
      <w:r w:rsidRPr="00A4218E">
        <w:rPr>
          <w:rFonts w:ascii="Segoe UI" w:hAnsi="Segoe UI" w:cs="Segoe UI"/>
          <w:i/>
          <w:iCs/>
          <w:sz w:val="20"/>
          <w:szCs w:val="20"/>
        </w:rPr>
        <w:t xml:space="preserve">, </w:t>
      </w:r>
      <w:r w:rsidRPr="00A4218E">
        <w:rPr>
          <w:rFonts w:ascii="Segoe UI" w:hAnsi="Segoe UI" w:cs="Segoe UI"/>
          <w:sz w:val="20"/>
          <w:szCs w:val="20"/>
        </w:rPr>
        <w:t xml:space="preserve">un jeton numérique sécurisé est considéré comme une </w:t>
      </w:r>
      <w:r w:rsidRPr="00A4218E">
        <w:rPr>
          <w:rFonts w:ascii="Segoe UI" w:hAnsi="Segoe UI" w:cs="Segoe UI"/>
          <w:b/>
          <w:bCs/>
          <w:sz w:val="20"/>
          <w:szCs w:val="20"/>
        </w:rPr>
        <w:t>valeur mobilière</w:t>
      </w:r>
      <w:r w:rsidRPr="00A4218E">
        <w:rPr>
          <w:rFonts w:ascii="Segoe UI" w:hAnsi="Segoe UI" w:cs="Segoe UI"/>
          <w:sz w:val="20"/>
          <w:szCs w:val="20"/>
        </w:rPr>
        <w:t xml:space="preserve"> dès lors qu’il répond aux caractéristiques d’un droit transférable enregistré électroniquement (ERTR). Ces ERTR sont adossés à des titres financiers (ERTRIS),</w:t>
      </w:r>
      <w:r w:rsidRPr="00A4218E">
        <w:rPr>
          <w:rFonts w:ascii="Segoe UI" w:hAnsi="Segoe UI" w:cs="Segoe UI"/>
          <w:b/>
          <w:bCs/>
          <w:sz w:val="20"/>
          <w:szCs w:val="20"/>
        </w:rPr>
        <w:t xml:space="preserve"> </w:t>
      </w:r>
      <w:r w:rsidRPr="00A4218E">
        <w:rPr>
          <w:rFonts w:ascii="Segoe UI" w:hAnsi="Segoe UI" w:cs="Segoe UI"/>
          <w:sz w:val="20"/>
          <w:szCs w:val="20"/>
        </w:rPr>
        <w:t>émis de manière électronique sur la blockchain.</w:t>
      </w:r>
      <w:r w:rsidRPr="00A4218E">
        <w:rPr>
          <w:rFonts w:ascii="Segoe UI" w:hAnsi="Segoe UI" w:cs="Segoe UI"/>
          <w:b/>
          <w:bCs/>
          <w:sz w:val="20"/>
          <w:szCs w:val="20"/>
        </w:rPr>
        <w:t xml:space="preserve"> </w:t>
      </w:r>
    </w:p>
    <w:p w14:paraId="6296321E" w14:textId="77777777" w:rsidR="00C860E3" w:rsidRPr="00A4218E" w:rsidRDefault="00C860E3" w:rsidP="00C860E3">
      <w:pPr>
        <w:spacing w:after="0" w:line="240" w:lineRule="auto"/>
        <w:jc w:val="both"/>
        <w:rPr>
          <w:rFonts w:ascii="Segoe UI" w:hAnsi="Segoe UI" w:cs="Segoe UI"/>
          <w:b/>
          <w:bCs/>
          <w:sz w:val="10"/>
          <w:szCs w:val="10"/>
        </w:rPr>
      </w:pPr>
    </w:p>
    <w:p w14:paraId="370D8237" w14:textId="1E04E613" w:rsidR="00C860E3" w:rsidRPr="00A4218E" w:rsidRDefault="008B6A81" w:rsidP="00C860E3">
      <w:pPr>
        <w:pStyle w:val="Paragraphedeliste"/>
        <w:numPr>
          <w:ilvl w:val="0"/>
          <w:numId w:val="42"/>
        </w:numPr>
        <w:spacing w:after="0" w:line="240" w:lineRule="auto"/>
        <w:jc w:val="both"/>
        <w:rPr>
          <w:rFonts w:ascii="Segoe UI" w:hAnsi="Segoe UI" w:cs="Segoe UI"/>
          <w:b/>
          <w:bCs/>
          <w:sz w:val="20"/>
          <w:szCs w:val="20"/>
        </w:rPr>
      </w:pPr>
      <w:r>
        <w:rPr>
          <w:rFonts w:ascii="Segoe UI" w:hAnsi="Segoe UI" w:cs="Segoe UI"/>
          <w:b/>
          <w:bCs/>
          <w:sz w:val="20"/>
          <w:szCs w:val="20"/>
        </w:rPr>
        <w:t>Cryptoactif</w:t>
      </w:r>
      <w:r w:rsidR="00C860E3" w:rsidRPr="00A4218E">
        <w:rPr>
          <w:rFonts w:ascii="Segoe UI" w:hAnsi="Segoe UI" w:cs="Segoe UI"/>
          <w:b/>
          <w:bCs/>
          <w:sz w:val="20"/>
          <w:szCs w:val="20"/>
        </w:rPr>
        <w:t xml:space="preserve"> stables (</w:t>
      </w:r>
      <w:proofErr w:type="spellStart"/>
      <w:r w:rsidR="00C860E3" w:rsidRPr="00A4218E">
        <w:rPr>
          <w:rFonts w:ascii="Segoe UI" w:hAnsi="Segoe UI" w:cs="Segoe UI"/>
          <w:b/>
          <w:bCs/>
          <w:i/>
          <w:iCs/>
          <w:sz w:val="20"/>
          <w:szCs w:val="20"/>
        </w:rPr>
        <w:t>stablecoins</w:t>
      </w:r>
      <w:proofErr w:type="spellEnd"/>
      <w:r w:rsidR="00C860E3" w:rsidRPr="00A4218E">
        <w:rPr>
          <w:rFonts w:ascii="Segoe UI" w:hAnsi="Segoe UI" w:cs="Segoe UI"/>
          <w:b/>
          <w:bCs/>
          <w:sz w:val="20"/>
          <w:szCs w:val="20"/>
        </w:rPr>
        <w:t xml:space="preserve">) : </w:t>
      </w:r>
      <w:r>
        <w:rPr>
          <w:rFonts w:ascii="Segoe UI" w:eastAsia="Times New Roman" w:hAnsi="Segoe UI" w:cs="Segoe UI"/>
          <w:sz w:val="20"/>
          <w:szCs w:val="20"/>
          <w:lang w:eastAsia="fr-FR"/>
        </w:rPr>
        <w:t>cryptoactif</w:t>
      </w:r>
      <w:r w:rsidR="00C860E3" w:rsidRPr="00A4218E">
        <w:rPr>
          <w:rFonts w:ascii="Segoe UI" w:eastAsia="Times New Roman" w:hAnsi="Segoe UI" w:cs="Segoe UI"/>
          <w:sz w:val="20"/>
          <w:szCs w:val="20"/>
          <w:lang w:eastAsia="fr-FR"/>
        </w:rPr>
        <w:t xml:space="preserve"> dont le prix est arrimé à une autre </w:t>
      </w:r>
      <w:r>
        <w:rPr>
          <w:rFonts w:ascii="Segoe UI" w:eastAsia="Times New Roman" w:hAnsi="Segoe UI" w:cs="Segoe UI"/>
          <w:sz w:val="20"/>
          <w:szCs w:val="20"/>
          <w:lang w:eastAsia="fr-FR"/>
        </w:rPr>
        <w:t>cryptoactif</w:t>
      </w:r>
      <w:r w:rsidR="00C860E3" w:rsidRPr="00A4218E">
        <w:rPr>
          <w:rFonts w:ascii="Segoe UI" w:eastAsia="Times New Roman" w:hAnsi="Segoe UI" w:cs="Segoe UI"/>
          <w:sz w:val="20"/>
          <w:szCs w:val="20"/>
          <w:lang w:eastAsia="fr-FR"/>
        </w:rPr>
        <w:t>, à une monnaie fiduciaire, ou à un produit négocié en bourse. Leur statut varie selon que cette monnaie soit</w:t>
      </w:r>
      <w:r w:rsidR="00C860E3" w:rsidRPr="00A4218E">
        <w:rPr>
          <w:rFonts w:ascii="Segoe UI" w:eastAsia="Times New Roman" w:hAnsi="Segoe UI" w:cs="Segoe UI"/>
          <w:b/>
          <w:bCs/>
          <w:sz w:val="20"/>
          <w:szCs w:val="20"/>
          <w:lang w:eastAsia="fr-FR"/>
        </w:rPr>
        <w:t xml:space="preserve"> libellée en monnaie fiduciaire</w:t>
      </w:r>
      <w:r w:rsidR="00C860E3" w:rsidRPr="00A4218E">
        <w:rPr>
          <w:rFonts w:ascii="Segoe UI" w:eastAsia="Times New Roman" w:hAnsi="Segoe UI" w:cs="Segoe UI"/>
          <w:sz w:val="20"/>
          <w:szCs w:val="20"/>
          <w:lang w:eastAsia="fr-FR"/>
        </w:rPr>
        <w:t xml:space="preserve"> (classée comme « </w:t>
      </w:r>
      <w:proofErr w:type="spellStart"/>
      <w:r w:rsidR="00C860E3" w:rsidRPr="00A4218E">
        <w:rPr>
          <w:rFonts w:ascii="Segoe UI" w:eastAsia="Times New Roman" w:hAnsi="Segoe UI" w:cs="Segoe UI"/>
          <w:sz w:val="20"/>
          <w:szCs w:val="20"/>
          <w:lang w:eastAsia="fr-FR"/>
        </w:rPr>
        <w:t>kawase</w:t>
      </w:r>
      <w:proofErr w:type="spellEnd"/>
      <w:r w:rsidR="00C860E3" w:rsidRPr="00A4218E">
        <w:rPr>
          <w:rFonts w:ascii="Segoe UI" w:eastAsia="Times New Roman" w:hAnsi="Segoe UI" w:cs="Segoe UI"/>
          <w:sz w:val="20"/>
          <w:szCs w:val="20"/>
          <w:lang w:eastAsia="fr-FR"/>
        </w:rPr>
        <w:t xml:space="preserve"> </w:t>
      </w:r>
      <w:proofErr w:type="spellStart"/>
      <w:r w:rsidR="00C860E3" w:rsidRPr="00A4218E">
        <w:rPr>
          <w:rFonts w:ascii="Segoe UI" w:eastAsia="Times New Roman" w:hAnsi="Segoe UI" w:cs="Segoe UI"/>
          <w:sz w:val="20"/>
          <w:szCs w:val="20"/>
          <w:lang w:eastAsia="fr-FR"/>
        </w:rPr>
        <w:t>torihiki</w:t>
      </w:r>
      <w:proofErr w:type="spellEnd"/>
      <w:r w:rsidR="00C860E3" w:rsidRPr="00A4218E">
        <w:rPr>
          <w:rFonts w:ascii="Segoe UI" w:eastAsia="Times New Roman" w:hAnsi="Segoe UI" w:cs="Segoe UI"/>
          <w:sz w:val="20"/>
          <w:szCs w:val="20"/>
          <w:lang w:eastAsia="fr-FR"/>
        </w:rPr>
        <w:t xml:space="preserve"> » en vertu du </w:t>
      </w:r>
      <w:r w:rsidR="00C860E3" w:rsidRPr="00A4218E">
        <w:rPr>
          <w:rFonts w:ascii="Segoe UI" w:eastAsia="Times New Roman" w:hAnsi="Segoe UI" w:cs="Segoe UI"/>
          <w:i/>
          <w:iCs/>
          <w:sz w:val="20"/>
          <w:szCs w:val="20"/>
          <w:lang w:eastAsia="fr-FR"/>
        </w:rPr>
        <w:t xml:space="preserve">Banking </w:t>
      </w:r>
      <w:proofErr w:type="spellStart"/>
      <w:r w:rsidR="00C860E3" w:rsidRPr="00A4218E">
        <w:rPr>
          <w:rFonts w:ascii="Segoe UI" w:eastAsia="Times New Roman" w:hAnsi="Segoe UI" w:cs="Segoe UI"/>
          <w:i/>
          <w:iCs/>
          <w:sz w:val="20"/>
          <w:szCs w:val="20"/>
          <w:lang w:eastAsia="fr-FR"/>
        </w:rPr>
        <w:t>Act</w:t>
      </w:r>
      <w:proofErr w:type="spellEnd"/>
      <w:r w:rsidR="00C860E3" w:rsidRPr="00A4218E">
        <w:rPr>
          <w:rFonts w:ascii="Segoe UI" w:eastAsia="Times New Roman" w:hAnsi="Segoe UI" w:cs="Segoe UI"/>
          <w:sz w:val="20"/>
          <w:szCs w:val="20"/>
          <w:lang w:eastAsia="fr-FR"/>
        </w:rPr>
        <w:t xml:space="preserve">) </w:t>
      </w:r>
      <w:r w:rsidR="00C860E3" w:rsidRPr="00A4218E">
        <w:rPr>
          <w:rFonts w:ascii="Segoe UI" w:eastAsia="Times New Roman" w:hAnsi="Segoe UI" w:cs="Segoe UI"/>
          <w:b/>
          <w:bCs/>
          <w:sz w:val="20"/>
          <w:szCs w:val="20"/>
          <w:lang w:eastAsia="fr-FR"/>
        </w:rPr>
        <w:t>ou non</w:t>
      </w:r>
      <w:r w:rsidR="00C860E3" w:rsidRPr="00A4218E">
        <w:rPr>
          <w:rFonts w:ascii="Segoe UI" w:eastAsia="Times New Roman" w:hAnsi="Segoe UI" w:cs="Segoe UI"/>
          <w:sz w:val="20"/>
          <w:szCs w:val="20"/>
          <w:lang w:eastAsia="fr-FR"/>
        </w:rPr>
        <w:t xml:space="preserve"> (classée comme « </w:t>
      </w:r>
      <w:r w:rsidR="009F5EED">
        <w:rPr>
          <w:rFonts w:ascii="Segoe UI" w:eastAsia="Times New Roman" w:hAnsi="Segoe UI" w:cs="Segoe UI"/>
          <w:b/>
          <w:bCs/>
          <w:sz w:val="20"/>
          <w:szCs w:val="20"/>
          <w:lang w:eastAsia="fr-FR"/>
        </w:rPr>
        <w:t>cryptoactif</w:t>
      </w:r>
      <w:r w:rsidR="00C860E3" w:rsidRPr="00A4218E">
        <w:rPr>
          <w:rFonts w:ascii="Segoe UI" w:eastAsia="Times New Roman" w:hAnsi="Segoe UI" w:cs="Segoe UI"/>
          <w:b/>
          <w:bCs/>
          <w:sz w:val="20"/>
          <w:szCs w:val="20"/>
          <w:lang w:eastAsia="fr-FR"/>
        </w:rPr>
        <w:t> »</w:t>
      </w:r>
      <w:r w:rsidR="00C860E3" w:rsidRPr="00A4218E">
        <w:rPr>
          <w:rFonts w:ascii="Segoe UI" w:eastAsia="Times New Roman" w:hAnsi="Segoe UI" w:cs="Segoe UI"/>
          <w:sz w:val="20"/>
          <w:szCs w:val="20"/>
          <w:lang w:eastAsia="fr-FR"/>
        </w:rPr>
        <w:t xml:space="preserve"> en vertu du </w:t>
      </w:r>
      <w:r w:rsidR="00C860E3" w:rsidRPr="00A4218E">
        <w:rPr>
          <w:rFonts w:ascii="Segoe UI" w:eastAsia="Times New Roman" w:hAnsi="Segoe UI" w:cs="Segoe UI"/>
          <w:i/>
          <w:iCs/>
          <w:sz w:val="20"/>
          <w:szCs w:val="20"/>
          <w:lang w:eastAsia="fr-FR"/>
        </w:rPr>
        <w:t>PSA</w:t>
      </w:r>
      <w:r w:rsidR="00C860E3" w:rsidRPr="00A4218E">
        <w:rPr>
          <w:rFonts w:ascii="Segoe UI" w:eastAsia="Times New Roman" w:hAnsi="Segoe UI" w:cs="Segoe UI"/>
          <w:sz w:val="20"/>
          <w:szCs w:val="20"/>
          <w:lang w:eastAsia="fr-FR"/>
        </w:rPr>
        <w:t xml:space="preserve">). </w:t>
      </w:r>
    </w:p>
    <w:p w14:paraId="1C493F3D" w14:textId="77777777" w:rsidR="00C860E3" w:rsidRPr="00A4218E" w:rsidRDefault="00C860E3" w:rsidP="00C860E3">
      <w:pPr>
        <w:spacing w:after="0" w:line="240" w:lineRule="auto"/>
        <w:jc w:val="both"/>
        <w:rPr>
          <w:rFonts w:ascii="Segoe UI" w:hAnsi="Segoe UI" w:cs="Segoe UI"/>
          <w:b/>
          <w:bCs/>
          <w:sz w:val="10"/>
          <w:szCs w:val="10"/>
        </w:rPr>
      </w:pPr>
    </w:p>
    <w:p w14:paraId="410BD709" w14:textId="45AA4454" w:rsidR="00C860E3" w:rsidRPr="00A4218E" w:rsidRDefault="00C860E3" w:rsidP="00C860E3">
      <w:pPr>
        <w:pStyle w:val="Paragraphedeliste"/>
        <w:numPr>
          <w:ilvl w:val="0"/>
          <w:numId w:val="42"/>
        </w:numPr>
        <w:spacing w:after="0" w:line="240" w:lineRule="auto"/>
        <w:jc w:val="both"/>
        <w:rPr>
          <w:rFonts w:ascii="Segoe UI" w:hAnsi="Segoe UI" w:cs="Segoe UI"/>
          <w:b/>
          <w:bCs/>
          <w:sz w:val="20"/>
          <w:szCs w:val="20"/>
        </w:rPr>
      </w:pPr>
      <w:bookmarkStart w:id="0" w:name="_Hlk104198978"/>
      <w:r w:rsidRPr="00A4218E">
        <w:rPr>
          <w:rFonts w:ascii="Segoe UI" w:hAnsi="Segoe UI" w:cs="Segoe UI"/>
          <w:b/>
          <w:bCs/>
          <w:sz w:val="20"/>
          <w:szCs w:val="20"/>
        </w:rPr>
        <w:t>Jetons non-fongibles (</w:t>
      </w:r>
      <w:r w:rsidRPr="00A4218E">
        <w:rPr>
          <w:rFonts w:ascii="Segoe UI" w:hAnsi="Segoe UI" w:cs="Segoe UI"/>
          <w:b/>
          <w:bCs/>
          <w:i/>
          <w:iCs/>
          <w:sz w:val="20"/>
          <w:szCs w:val="20"/>
        </w:rPr>
        <w:t>non-</w:t>
      </w:r>
      <w:proofErr w:type="spellStart"/>
      <w:r w:rsidRPr="00A4218E">
        <w:rPr>
          <w:rFonts w:ascii="Segoe UI" w:hAnsi="Segoe UI" w:cs="Segoe UI"/>
          <w:b/>
          <w:bCs/>
          <w:i/>
          <w:iCs/>
          <w:sz w:val="20"/>
          <w:szCs w:val="20"/>
        </w:rPr>
        <w:t>fungible</w:t>
      </w:r>
      <w:proofErr w:type="spellEnd"/>
      <w:r w:rsidRPr="00A4218E">
        <w:rPr>
          <w:rFonts w:ascii="Segoe UI" w:hAnsi="Segoe UI" w:cs="Segoe UI"/>
          <w:b/>
          <w:bCs/>
          <w:i/>
          <w:iCs/>
          <w:sz w:val="20"/>
          <w:szCs w:val="20"/>
        </w:rPr>
        <w:t xml:space="preserve"> </w:t>
      </w:r>
      <w:proofErr w:type="spellStart"/>
      <w:r w:rsidRPr="00A4218E">
        <w:rPr>
          <w:rFonts w:ascii="Segoe UI" w:hAnsi="Segoe UI" w:cs="Segoe UI"/>
          <w:b/>
          <w:bCs/>
          <w:i/>
          <w:iCs/>
          <w:sz w:val="20"/>
          <w:szCs w:val="20"/>
        </w:rPr>
        <w:t>tokens</w:t>
      </w:r>
      <w:proofErr w:type="spellEnd"/>
      <w:r w:rsidRPr="00A4218E">
        <w:rPr>
          <w:rFonts w:ascii="Segoe UI" w:hAnsi="Segoe UI" w:cs="Segoe UI"/>
          <w:b/>
          <w:bCs/>
          <w:sz w:val="20"/>
          <w:szCs w:val="20"/>
        </w:rPr>
        <w:t xml:space="preserve">) : </w:t>
      </w:r>
      <w:r w:rsidRPr="00A4218E">
        <w:rPr>
          <w:rFonts w:ascii="Segoe UI" w:eastAsia="Times New Roman" w:hAnsi="Segoe UI" w:cs="Segoe UI"/>
          <w:sz w:val="20"/>
          <w:szCs w:val="20"/>
          <w:lang w:eastAsia="fr-FR"/>
        </w:rPr>
        <w:t xml:space="preserve">en raison de leur absence de fonction économique, les </w:t>
      </w:r>
      <w:proofErr w:type="spellStart"/>
      <w:r w:rsidRPr="00A4218E">
        <w:rPr>
          <w:rFonts w:ascii="Segoe UI" w:eastAsia="Times New Roman" w:hAnsi="Segoe UI" w:cs="Segoe UI"/>
          <w:sz w:val="20"/>
          <w:szCs w:val="20"/>
          <w:lang w:eastAsia="fr-FR"/>
        </w:rPr>
        <w:t>NFTs</w:t>
      </w:r>
      <w:proofErr w:type="spellEnd"/>
      <w:r w:rsidRPr="00A4218E">
        <w:rPr>
          <w:rFonts w:ascii="Segoe UI" w:eastAsia="Times New Roman" w:hAnsi="Segoe UI" w:cs="Segoe UI"/>
          <w:sz w:val="20"/>
          <w:szCs w:val="20"/>
          <w:lang w:eastAsia="fr-FR"/>
        </w:rPr>
        <w:t xml:space="preserve"> ne sont actuellement pas soumis à une réglementation financière ou commerciale au Japon. Ils ne relèvent ni du statut de « </w:t>
      </w:r>
      <w:r w:rsidR="009F5EED">
        <w:rPr>
          <w:rFonts w:ascii="Segoe UI" w:eastAsia="Times New Roman" w:hAnsi="Segoe UI" w:cs="Segoe UI"/>
          <w:sz w:val="20"/>
          <w:szCs w:val="20"/>
          <w:lang w:eastAsia="fr-FR"/>
        </w:rPr>
        <w:t>cryptoactif</w:t>
      </w:r>
      <w:r w:rsidRPr="00A4218E">
        <w:rPr>
          <w:rFonts w:ascii="Segoe UI" w:eastAsia="Times New Roman" w:hAnsi="Segoe UI" w:cs="Segoe UI"/>
          <w:sz w:val="20"/>
          <w:szCs w:val="20"/>
          <w:lang w:eastAsia="fr-FR"/>
        </w:rPr>
        <w:t xml:space="preserve"> » (défini par le </w:t>
      </w:r>
      <w:r w:rsidRPr="00A4218E">
        <w:rPr>
          <w:rFonts w:ascii="Segoe UI" w:eastAsia="Times New Roman" w:hAnsi="Segoe UI" w:cs="Segoe UI"/>
          <w:i/>
          <w:iCs/>
          <w:sz w:val="20"/>
          <w:szCs w:val="20"/>
          <w:lang w:eastAsia="fr-FR"/>
        </w:rPr>
        <w:t>PSA</w:t>
      </w:r>
      <w:r w:rsidRPr="00A4218E">
        <w:rPr>
          <w:rFonts w:ascii="Segoe UI" w:eastAsia="Times New Roman" w:hAnsi="Segoe UI" w:cs="Segoe UI"/>
          <w:sz w:val="20"/>
          <w:szCs w:val="20"/>
          <w:lang w:eastAsia="fr-FR"/>
        </w:rPr>
        <w:t xml:space="preserve">), ni du statut d’ERTRIS (défini par le </w:t>
      </w:r>
      <w:r w:rsidRPr="00A4218E">
        <w:rPr>
          <w:rFonts w:ascii="Segoe UI" w:eastAsia="Times New Roman" w:hAnsi="Segoe UI" w:cs="Segoe UI"/>
          <w:i/>
          <w:iCs/>
          <w:sz w:val="20"/>
          <w:szCs w:val="20"/>
          <w:lang w:eastAsia="fr-FR"/>
        </w:rPr>
        <w:t>FIEA</w:t>
      </w:r>
      <w:r w:rsidRPr="00A4218E">
        <w:rPr>
          <w:rFonts w:ascii="Segoe UI" w:eastAsia="Times New Roman" w:hAnsi="Segoe UI" w:cs="Segoe UI"/>
          <w:sz w:val="20"/>
          <w:szCs w:val="20"/>
          <w:lang w:eastAsia="fr-FR"/>
        </w:rPr>
        <w:t xml:space="preserve">). Certains cas particuliers ont néanmoins été anticipés par les autorités de régulation. </w:t>
      </w:r>
      <w:r w:rsidR="00284E1E" w:rsidRPr="00A4218E">
        <w:rPr>
          <w:rFonts w:ascii="Segoe UI" w:eastAsia="Times New Roman" w:hAnsi="Segoe UI" w:cs="Segoe UI"/>
          <w:sz w:val="19"/>
          <w:szCs w:val="19"/>
          <w:lang w:eastAsia="fr-FR"/>
        </w:rPr>
        <w:t xml:space="preserve">Un projet de réglementation est actuellement en cours avec le livret blanc du </w:t>
      </w:r>
      <w:r w:rsidR="00284E1E" w:rsidRPr="00A4218E">
        <w:rPr>
          <w:rFonts w:ascii="Segoe UI" w:eastAsia="Times New Roman" w:hAnsi="Segoe UI" w:cs="Segoe UI"/>
          <w:i/>
          <w:iCs/>
          <w:sz w:val="19"/>
          <w:szCs w:val="19"/>
          <w:lang w:eastAsia="fr-FR"/>
        </w:rPr>
        <w:t>Liberal Democratic Party,</w:t>
      </w:r>
      <w:r w:rsidR="00284E1E" w:rsidRPr="00A4218E">
        <w:rPr>
          <w:rFonts w:ascii="Segoe UI" w:eastAsia="Times New Roman" w:hAnsi="Segoe UI" w:cs="Segoe UI"/>
          <w:sz w:val="19"/>
          <w:szCs w:val="19"/>
          <w:lang w:eastAsia="fr-FR"/>
        </w:rPr>
        <w:t xml:space="preserve"> publié en mars 2022.</w:t>
      </w:r>
    </w:p>
    <w:bookmarkEnd w:id="0"/>
    <w:p w14:paraId="7E453FDE" w14:textId="1CC524D0" w:rsidR="00C860E3" w:rsidRDefault="00C860E3" w:rsidP="00C860E3">
      <w:pPr>
        <w:tabs>
          <w:tab w:val="left" w:pos="2149"/>
        </w:tabs>
        <w:spacing w:after="0" w:line="240" w:lineRule="auto"/>
        <w:rPr>
          <w:rFonts w:ascii="Segoe UI" w:hAnsi="Segoe UI" w:cs="Segoe UI"/>
          <w:b/>
          <w:bCs/>
          <w:color w:val="333333"/>
          <w:sz w:val="16"/>
          <w:szCs w:val="16"/>
          <w:u w:val="single"/>
          <w:shd w:val="clear" w:color="auto" w:fill="FBFBFB"/>
        </w:rPr>
      </w:pPr>
    </w:p>
    <w:p w14:paraId="5221FF2D" w14:textId="7D47435A" w:rsidR="00534375" w:rsidRDefault="00534375" w:rsidP="00C860E3">
      <w:pPr>
        <w:tabs>
          <w:tab w:val="left" w:pos="2149"/>
        </w:tabs>
        <w:spacing w:after="0" w:line="240" w:lineRule="auto"/>
        <w:rPr>
          <w:rFonts w:ascii="Segoe UI" w:hAnsi="Segoe UI" w:cs="Segoe UI"/>
          <w:b/>
          <w:bCs/>
          <w:color w:val="333333"/>
          <w:sz w:val="16"/>
          <w:szCs w:val="16"/>
          <w:u w:val="single"/>
          <w:shd w:val="clear" w:color="auto" w:fill="FBFBFB"/>
        </w:rPr>
      </w:pPr>
    </w:p>
    <w:p w14:paraId="31EFC404" w14:textId="61D5E175" w:rsidR="00534375" w:rsidRDefault="00534375" w:rsidP="00C860E3">
      <w:pPr>
        <w:tabs>
          <w:tab w:val="left" w:pos="2149"/>
        </w:tabs>
        <w:spacing w:after="0" w:line="240" w:lineRule="auto"/>
        <w:rPr>
          <w:rFonts w:ascii="Segoe UI" w:hAnsi="Segoe UI" w:cs="Segoe UI"/>
          <w:b/>
          <w:bCs/>
          <w:color w:val="333333"/>
          <w:sz w:val="16"/>
          <w:szCs w:val="16"/>
          <w:u w:val="single"/>
          <w:shd w:val="clear" w:color="auto" w:fill="FBFBFB"/>
        </w:rPr>
      </w:pPr>
    </w:p>
    <w:p w14:paraId="65372F73" w14:textId="112448D7" w:rsidR="004A7B48" w:rsidRDefault="004A7B48" w:rsidP="00C860E3">
      <w:pPr>
        <w:tabs>
          <w:tab w:val="left" w:pos="2149"/>
        </w:tabs>
        <w:spacing w:after="0" w:line="240" w:lineRule="auto"/>
        <w:rPr>
          <w:rFonts w:ascii="Segoe UI" w:hAnsi="Segoe UI" w:cs="Segoe UI"/>
          <w:b/>
          <w:bCs/>
          <w:color w:val="333333"/>
          <w:sz w:val="16"/>
          <w:szCs w:val="16"/>
          <w:u w:val="single"/>
          <w:shd w:val="clear" w:color="auto" w:fill="FBFBFB"/>
        </w:rPr>
      </w:pPr>
    </w:p>
    <w:p w14:paraId="380B0F76" w14:textId="77777777" w:rsidR="004A7B48" w:rsidRDefault="004A7B48" w:rsidP="00C860E3">
      <w:pPr>
        <w:tabs>
          <w:tab w:val="left" w:pos="2149"/>
        </w:tabs>
        <w:spacing w:after="0" w:line="240" w:lineRule="auto"/>
        <w:rPr>
          <w:rFonts w:ascii="Segoe UI" w:hAnsi="Segoe UI" w:cs="Segoe UI"/>
          <w:b/>
          <w:bCs/>
          <w:color w:val="333333"/>
          <w:sz w:val="16"/>
          <w:szCs w:val="16"/>
          <w:u w:val="single"/>
          <w:shd w:val="clear" w:color="auto" w:fill="FBFBFB"/>
        </w:rPr>
      </w:pPr>
    </w:p>
    <w:p w14:paraId="4431DBC2" w14:textId="77777777" w:rsidR="00B37BC3" w:rsidRDefault="00B37BC3" w:rsidP="00DA71D4">
      <w:pPr>
        <w:spacing w:after="0" w:line="240" w:lineRule="auto"/>
        <w:rPr>
          <w:rFonts w:ascii="Segoe UI" w:hAnsi="Segoe UI" w:cs="Segoe UI"/>
          <w:b/>
          <w:bCs/>
          <w:sz w:val="20"/>
          <w:szCs w:val="20"/>
          <w:u w:val="single"/>
        </w:rPr>
      </w:pPr>
    </w:p>
    <w:p w14:paraId="203E7759" w14:textId="36EA9EAB" w:rsidR="005133E2" w:rsidRPr="00A4218E" w:rsidRDefault="005133E2" w:rsidP="00DA71D4">
      <w:pPr>
        <w:spacing w:after="0" w:line="240" w:lineRule="auto"/>
        <w:rPr>
          <w:rFonts w:ascii="Segoe UI" w:hAnsi="Segoe UI" w:cs="Segoe UI"/>
          <w:b/>
          <w:bCs/>
          <w:sz w:val="20"/>
          <w:szCs w:val="20"/>
          <w:u w:val="single"/>
        </w:rPr>
      </w:pPr>
      <w:r w:rsidRPr="00A4218E">
        <w:rPr>
          <w:rFonts w:ascii="Segoe UI" w:hAnsi="Segoe UI" w:cs="Segoe UI"/>
          <w:b/>
          <w:bCs/>
          <w:sz w:val="20"/>
          <w:szCs w:val="20"/>
          <w:u w:val="single"/>
        </w:rPr>
        <w:lastRenderedPageBreak/>
        <w:t>Annexe n°</w:t>
      </w:r>
      <w:r w:rsidR="004A7B48">
        <w:rPr>
          <w:rFonts w:ascii="Segoe UI" w:hAnsi="Segoe UI" w:cs="Segoe UI"/>
          <w:b/>
          <w:bCs/>
          <w:sz w:val="20"/>
          <w:szCs w:val="20"/>
          <w:u w:val="single"/>
        </w:rPr>
        <w:t>5</w:t>
      </w:r>
      <w:r w:rsidRPr="00A4218E">
        <w:rPr>
          <w:rFonts w:ascii="Segoe UI" w:hAnsi="Segoe UI" w:cs="Segoe UI"/>
          <w:b/>
          <w:bCs/>
          <w:sz w:val="20"/>
          <w:szCs w:val="20"/>
          <w:u w:val="single"/>
        </w:rPr>
        <w:t> : Régl</w:t>
      </w:r>
      <w:r w:rsidR="00705C66" w:rsidRPr="00A4218E">
        <w:rPr>
          <w:rFonts w:ascii="Segoe UI" w:hAnsi="Segoe UI" w:cs="Segoe UI"/>
          <w:b/>
          <w:bCs/>
          <w:sz w:val="20"/>
          <w:szCs w:val="20"/>
          <w:u w:val="single"/>
        </w:rPr>
        <w:t>ementation relative la protection des</w:t>
      </w:r>
      <w:r w:rsidR="00AD2B22">
        <w:rPr>
          <w:rFonts w:ascii="Segoe UI" w:hAnsi="Segoe UI" w:cs="Segoe UI"/>
          <w:b/>
          <w:bCs/>
          <w:sz w:val="20"/>
          <w:szCs w:val="20"/>
          <w:u w:val="single"/>
        </w:rPr>
        <w:t xml:space="preserve"> actifs des</w:t>
      </w:r>
      <w:r w:rsidR="00705C66" w:rsidRPr="00A4218E">
        <w:rPr>
          <w:rFonts w:ascii="Segoe UI" w:hAnsi="Segoe UI" w:cs="Segoe UI"/>
          <w:b/>
          <w:bCs/>
          <w:sz w:val="20"/>
          <w:szCs w:val="20"/>
          <w:u w:val="single"/>
        </w:rPr>
        <w:t xml:space="preserve"> utilisateur</w:t>
      </w:r>
      <w:r w:rsidR="0024364F">
        <w:rPr>
          <w:rFonts w:ascii="Segoe UI" w:hAnsi="Segoe UI" w:cs="Segoe UI"/>
          <w:b/>
          <w:bCs/>
          <w:sz w:val="20"/>
          <w:szCs w:val="20"/>
          <w:u w:val="single"/>
        </w:rPr>
        <w:t>s et au blanchiment d’argent.</w:t>
      </w:r>
    </w:p>
    <w:p w14:paraId="411E3D58" w14:textId="0434AD56" w:rsidR="005133E2" w:rsidRPr="00A4218E" w:rsidRDefault="005133E2" w:rsidP="00DA71D4">
      <w:pPr>
        <w:spacing w:after="0" w:line="240" w:lineRule="auto"/>
        <w:rPr>
          <w:rFonts w:ascii="Segoe UI" w:hAnsi="Segoe UI" w:cs="Segoe UI"/>
          <w:b/>
          <w:bCs/>
          <w:sz w:val="20"/>
          <w:szCs w:val="20"/>
          <w:u w:val="single"/>
        </w:rPr>
      </w:pPr>
    </w:p>
    <w:p w14:paraId="76208EA1" w14:textId="68731D41" w:rsidR="0024364F" w:rsidRDefault="0024364F" w:rsidP="0024364F">
      <w:pPr>
        <w:spacing w:after="0" w:line="240" w:lineRule="auto"/>
        <w:jc w:val="both"/>
        <w:rPr>
          <w:rFonts w:ascii="Segoe UI" w:hAnsi="Segoe UI" w:cs="Segoe UI"/>
          <w:sz w:val="19"/>
          <w:szCs w:val="19"/>
          <w:u w:val="single"/>
        </w:rPr>
      </w:pPr>
      <w:r w:rsidRPr="0024364F">
        <w:rPr>
          <w:rFonts w:ascii="Segoe UI" w:hAnsi="Segoe UI" w:cs="Segoe UI"/>
          <w:sz w:val="19"/>
          <w:szCs w:val="19"/>
          <w:u w:val="single"/>
        </w:rPr>
        <w:t xml:space="preserve">Mesures effectives encadrant l’activité des opérateurs de </w:t>
      </w:r>
      <w:r w:rsidR="00C62E95">
        <w:rPr>
          <w:rFonts w:ascii="Segoe UI" w:hAnsi="Segoe UI" w:cs="Segoe UI"/>
          <w:sz w:val="19"/>
          <w:szCs w:val="19"/>
          <w:u w:val="single"/>
        </w:rPr>
        <w:t>cryptoactifs</w:t>
      </w:r>
      <w:r w:rsidRPr="0024364F">
        <w:rPr>
          <w:rFonts w:ascii="Segoe UI" w:hAnsi="Segoe UI" w:cs="Segoe UI"/>
          <w:sz w:val="19"/>
          <w:szCs w:val="19"/>
          <w:u w:val="single"/>
        </w:rPr>
        <w:t xml:space="preserve"> : </w:t>
      </w:r>
    </w:p>
    <w:p w14:paraId="4CE79927" w14:textId="77777777" w:rsidR="0024364F" w:rsidRPr="0024364F" w:rsidRDefault="0024364F" w:rsidP="0024364F">
      <w:pPr>
        <w:spacing w:after="0" w:line="240" w:lineRule="auto"/>
        <w:jc w:val="both"/>
        <w:rPr>
          <w:rFonts w:ascii="Segoe UI" w:hAnsi="Segoe UI" w:cs="Segoe UI"/>
          <w:sz w:val="10"/>
          <w:szCs w:val="10"/>
          <w:u w:val="single"/>
        </w:rPr>
      </w:pPr>
    </w:p>
    <w:p w14:paraId="5A0CA887" w14:textId="77777777" w:rsidR="0024364F" w:rsidRPr="008001B3" w:rsidRDefault="0024364F" w:rsidP="0024364F">
      <w:pPr>
        <w:spacing w:after="0" w:line="240" w:lineRule="auto"/>
        <w:jc w:val="both"/>
        <w:rPr>
          <w:rFonts w:ascii="Segoe UI" w:hAnsi="Segoe UI" w:cs="Segoe UI"/>
          <w:b/>
          <w:bCs/>
          <w:color w:val="2E74B5" w:themeColor="accent1" w:themeShade="BF"/>
          <w:sz w:val="2"/>
          <w:szCs w:val="2"/>
        </w:rPr>
      </w:pPr>
    </w:p>
    <w:p w14:paraId="32AA2E91" w14:textId="18C98EEB" w:rsidR="0024364F" w:rsidRPr="008001B3" w:rsidRDefault="0024364F" w:rsidP="0024364F">
      <w:pPr>
        <w:pStyle w:val="Paragraphedeliste"/>
        <w:numPr>
          <w:ilvl w:val="0"/>
          <w:numId w:val="47"/>
        </w:numPr>
        <w:jc w:val="both"/>
        <w:rPr>
          <w:rFonts w:ascii="Segoe UI" w:hAnsi="Segoe UI" w:cs="Segoe UI"/>
          <w:sz w:val="19"/>
          <w:szCs w:val="19"/>
        </w:rPr>
      </w:pPr>
      <w:r w:rsidRPr="008001B3">
        <w:rPr>
          <w:rFonts w:ascii="Segoe UI" w:hAnsi="Segoe UI" w:cs="Segoe UI"/>
          <w:b/>
          <w:bCs/>
          <w:sz w:val="19"/>
          <w:szCs w:val="19"/>
        </w:rPr>
        <w:t xml:space="preserve">Ségrégation des actifs des clients : </w:t>
      </w:r>
      <w:r w:rsidRPr="008001B3">
        <w:rPr>
          <w:rFonts w:ascii="Segoe UI" w:hAnsi="Segoe UI" w:cs="Segoe UI"/>
          <w:sz w:val="19"/>
          <w:szCs w:val="19"/>
        </w:rPr>
        <w:t xml:space="preserve">les échangeurs de </w:t>
      </w:r>
      <w:r w:rsidR="00C62E95">
        <w:rPr>
          <w:rFonts w:ascii="Segoe UI" w:hAnsi="Segoe UI" w:cs="Segoe UI"/>
          <w:sz w:val="19"/>
          <w:szCs w:val="19"/>
        </w:rPr>
        <w:t>cryptoactifs</w:t>
      </w:r>
      <w:r w:rsidRPr="008001B3">
        <w:rPr>
          <w:rFonts w:ascii="Segoe UI" w:hAnsi="Segoe UI" w:cs="Segoe UI"/>
          <w:sz w:val="19"/>
          <w:szCs w:val="19"/>
        </w:rPr>
        <w:t xml:space="preserve"> sont tenus de séparer les actifs des clients (qu'il s'agisse de </w:t>
      </w:r>
      <w:r w:rsidR="00C62E95">
        <w:rPr>
          <w:rFonts w:ascii="Segoe UI" w:hAnsi="Segoe UI" w:cs="Segoe UI"/>
          <w:sz w:val="19"/>
          <w:szCs w:val="19"/>
        </w:rPr>
        <w:t>cryptoactifs</w:t>
      </w:r>
      <w:r w:rsidRPr="008001B3">
        <w:rPr>
          <w:rFonts w:ascii="Segoe UI" w:hAnsi="Segoe UI" w:cs="Segoe UI"/>
          <w:sz w:val="19"/>
          <w:szCs w:val="19"/>
        </w:rPr>
        <w:t xml:space="preserve"> ou de monnaie légale). En cas de faillite de la plateforme, les autorités peuvent saisir les actifs et rembourser les clients lésés, quand bien même la liquidation ne serait pas finalisée. Cette mesure a notamment permis d</w:t>
      </w:r>
      <w:r>
        <w:rPr>
          <w:rFonts w:ascii="Segoe UI" w:hAnsi="Segoe UI" w:cs="Segoe UI"/>
          <w:sz w:val="19"/>
          <w:szCs w:val="19"/>
        </w:rPr>
        <w:t>e protéger les actifs des clients japonais de FTX.</w:t>
      </w:r>
    </w:p>
    <w:p w14:paraId="45C93D41" w14:textId="77777777" w:rsidR="0024364F" w:rsidRPr="00823E4B" w:rsidRDefault="0024364F" w:rsidP="0024364F">
      <w:pPr>
        <w:pStyle w:val="Paragraphedeliste"/>
        <w:numPr>
          <w:ilvl w:val="0"/>
          <w:numId w:val="47"/>
        </w:numPr>
        <w:jc w:val="both"/>
        <w:rPr>
          <w:rFonts w:ascii="Segoe UI" w:hAnsi="Segoe UI" w:cs="Segoe UI"/>
          <w:sz w:val="19"/>
          <w:szCs w:val="19"/>
        </w:rPr>
      </w:pPr>
      <w:r w:rsidRPr="00823E4B">
        <w:rPr>
          <w:rFonts w:ascii="Segoe UI" w:hAnsi="Segoe UI" w:cs="Segoe UI"/>
          <w:b/>
          <w:bCs/>
          <w:sz w:val="19"/>
          <w:szCs w:val="19"/>
        </w:rPr>
        <w:t xml:space="preserve">100% des actifs des clients sont gérés dans des "cold </w:t>
      </w:r>
      <w:proofErr w:type="spellStart"/>
      <w:r w:rsidRPr="00823E4B">
        <w:rPr>
          <w:rFonts w:ascii="Segoe UI" w:hAnsi="Segoe UI" w:cs="Segoe UI"/>
          <w:b/>
          <w:bCs/>
          <w:sz w:val="19"/>
          <w:szCs w:val="19"/>
        </w:rPr>
        <w:t>wallet</w:t>
      </w:r>
      <w:proofErr w:type="spellEnd"/>
      <w:r w:rsidRPr="00823E4B">
        <w:rPr>
          <w:rFonts w:ascii="Segoe UI" w:hAnsi="Segoe UI" w:cs="Segoe UI"/>
          <w:b/>
          <w:bCs/>
          <w:sz w:val="19"/>
          <w:szCs w:val="19"/>
        </w:rPr>
        <w:t>"</w:t>
      </w:r>
      <w:r w:rsidRPr="008001B3">
        <w:rPr>
          <w:rFonts w:ascii="Segoe UI" w:hAnsi="Segoe UI" w:cs="Segoe UI"/>
          <w:sz w:val="19"/>
          <w:szCs w:val="19"/>
        </w:rPr>
        <w:t>,</w:t>
      </w:r>
      <w:r w:rsidRPr="00823E4B">
        <w:rPr>
          <w:rFonts w:ascii="Segoe UI" w:hAnsi="Segoe UI" w:cs="Segoe UI"/>
          <w:b/>
          <w:bCs/>
          <w:sz w:val="19"/>
          <w:szCs w:val="19"/>
        </w:rPr>
        <w:t xml:space="preserve"> </w:t>
      </w:r>
      <w:r>
        <w:rPr>
          <w:rFonts w:ascii="Segoe UI" w:hAnsi="Segoe UI" w:cs="Segoe UI"/>
          <w:sz w:val="19"/>
          <w:szCs w:val="19"/>
        </w:rPr>
        <w:t>face aux risques</w:t>
      </w:r>
      <w:r w:rsidRPr="00823E4B">
        <w:rPr>
          <w:rFonts w:ascii="Segoe UI" w:hAnsi="Segoe UI" w:cs="Segoe UI"/>
          <w:sz w:val="19"/>
          <w:szCs w:val="19"/>
        </w:rPr>
        <w:t xml:space="preserve"> de piratage externe.</w:t>
      </w:r>
    </w:p>
    <w:p w14:paraId="543FB284" w14:textId="77777777" w:rsidR="0024364F" w:rsidRPr="00823E4B" w:rsidRDefault="0024364F" w:rsidP="0024364F">
      <w:pPr>
        <w:pStyle w:val="Paragraphedeliste"/>
        <w:numPr>
          <w:ilvl w:val="0"/>
          <w:numId w:val="47"/>
        </w:numPr>
        <w:jc w:val="both"/>
        <w:rPr>
          <w:rFonts w:ascii="Segoe UI" w:hAnsi="Segoe UI" w:cs="Segoe UI"/>
          <w:b/>
          <w:bCs/>
          <w:sz w:val="19"/>
          <w:szCs w:val="19"/>
        </w:rPr>
      </w:pPr>
      <w:r>
        <w:rPr>
          <w:rFonts w:ascii="Segoe UI" w:hAnsi="Segoe UI" w:cs="Segoe UI"/>
          <w:b/>
          <w:bCs/>
          <w:sz w:val="19"/>
          <w:szCs w:val="19"/>
        </w:rPr>
        <w:t xml:space="preserve">Licence d’exploitation d’instruments financiers de type 1 </w:t>
      </w:r>
      <w:r w:rsidRPr="00823E4B">
        <w:rPr>
          <w:rFonts w:ascii="Segoe UI" w:hAnsi="Segoe UI" w:cs="Segoe UI"/>
          <w:sz w:val="19"/>
          <w:szCs w:val="19"/>
        </w:rPr>
        <w:t>(</w:t>
      </w:r>
      <w:r w:rsidRPr="00823E4B">
        <w:rPr>
          <w:rFonts w:ascii="Segoe UI" w:hAnsi="Segoe UI" w:cs="Segoe UI"/>
          <w:i/>
          <w:iCs/>
          <w:sz w:val="19"/>
          <w:szCs w:val="19"/>
        </w:rPr>
        <w:t xml:space="preserve">Type 1 </w:t>
      </w:r>
      <w:proofErr w:type="spellStart"/>
      <w:r w:rsidRPr="00823E4B">
        <w:rPr>
          <w:rFonts w:ascii="Segoe UI" w:hAnsi="Segoe UI" w:cs="Segoe UI"/>
          <w:i/>
          <w:iCs/>
          <w:sz w:val="19"/>
          <w:szCs w:val="19"/>
        </w:rPr>
        <w:t>financial</w:t>
      </w:r>
      <w:proofErr w:type="spellEnd"/>
      <w:r w:rsidRPr="00823E4B">
        <w:rPr>
          <w:rFonts w:ascii="Segoe UI" w:hAnsi="Segoe UI" w:cs="Segoe UI"/>
          <w:i/>
          <w:iCs/>
          <w:sz w:val="19"/>
          <w:szCs w:val="19"/>
        </w:rPr>
        <w:t xml:space="preserve"> Instruments Business License</w:t>
      </w:r>
      <w:r w:rsidRPr="00823E4B">
        <w:rPr>
          <w:rFonts w:ascii="Segoe UI" w:hAnsi="Segoe UI" w:cs="Segoe UI"/>
          <w:sz w:val="19"/>
          <w:szCs w:val="19"/>
        </w:rPr>
        <w:t>)</w:t>
      </w:r>
      <w:r>
        <w:rPr>
          <w:rFonts w:ascii="Segoe UI" w:hAnsi="Segoe UI" w:cs="Segoe UI"/>
          <w:b/>
          <w:bCs/>
          <w:sz w:val="19"/>
          <w:szCs w:val="19"/>
        </w:rPr>
        <w:t> </w:t>
      </w:r>
      <w:r>
        <w:rPr>
          <w:rFonts w:ascii="Segoe UI" w:hAnsi="Segoe UI" w:cs="Segoe UI"/>
          <w:sz w:val="19"/>
          <w:szCs w:val="19"/>
        </w:rPr>
        <w:t xml:space="preserve">: </w:t>
      </w:r>
      <w:r w:rsidRPr="00922E3B">
        <w:rPr>
          <w:rFonts w:ascii="Segoe UI" w:hAnsi="Segoe UI" w:cs="Segoe UI"/>
          <w:sz w:val="19"/>
          <w:szCs w:val="19"/>
        </w:rPr>
        <w:t xml:space="preserve">obligatoire pour toute opération de </w:t>
      </w:r>
      <w:proofErr w:type="spellStart"/>
      <w:r w:rsidRPr="00922E3B">
        <w:rPr>
          <w:rFonts w:ascii="Segoe UI" w:hAnsi="Segoe UI" w:cs="Segoe UI"/>
          <w:i/>
          <w:iCs/>
          <w:sz w:val="19"/>
          <w:szCs w:val="19"/>
        </w:rPr>
        <w:t>leverage</w:t>
      </w:r>
      <w:proofErr w:type="spellEnd"/>
      <w:r w:rsidRPr="00922E3B">
        <w:rPr>
          <w:rFonts w:ascii="Segoe UI" w:hAnsi="Segoe UI" w:cs="Segoe UI"/>
          <w:i/>
          <w:iCs/>
          <w:sz w:val="19"/>
          <w:szCs w:val="19"/>
        </w:rPr>
        <w:t xml:space="preserve"> trading</w:t>
      </w:r>
      <w:r w:rsidRPr="00823E4B">
        <w:rPr>
          <w:rFonts w:ascii="Segoe UI" w:hAnsi="Segoe UI" w:cs="Segoe UI"/>
          <w:b/>
          <w:bCs/>
          <w:sz w:val="19"/>
          <w:szCs w:val="19"/>
        </w:rPr>
        <w:t xml:space="preserve"> </w:t>
      </w:r>
      <w:r w:rsidRPr="00823E4B">
        <w:rPr>
          <w:rFonts w:ascii="Segoe UI" w:hAnsi="Segoe UI" w:cs="Segoe UI"/>
          <w:sz w:val="19"/>
          <w:szCs w:val="19"/>
        </w:rPr>
        <w:t>(opérations à effet de levier)</w:t>
      </w:r>
      <w:r w:rsidRPr="00823E4B">
        <w:rPr>
          <w:rFonts w:ascii="Segoe UI" w:hAnsi="Segoe UI" w:cs="Segoe UI"/>
          <w:b/>
          <w:bCs/>
          <w:sz w:val="19"/>
          <w:szCs w:val="19"/>
        </w:rPr>
        <w:t xml:space="preserve"> </w:t>
      </w:r>
    </w:p>
    <w:p w14:paraId="632DFBC5" w14:textId="1BC4C7B1" w:rsidR="0024364F" w:rsidRPr="004A7B48" w:rsidRDefault="0024364F" w:rsidP="004A7B48">
      <w:pPr>
        <w:pStyle w:val="Paragraphedeliste"/>
        <w:numPr>
          <w:ilvl w:val="0"/>
          <w:numId w:val="47"/>
        </w:numPr>
        <w:jc w:val="both"/>
        <w:rPr>
          <w:rFonts w:ascii="Segoe UI" w:hAnsi="Segoe UI" w:cs="Segoe UI"/>
          <w:b/>
          <w:bCs/>
          <w:sz w:val="19"/>
          <w:szCs w:val="19"/>
        </w:rPr>
      </w:pPr>
      <w:r w:rsidRPr="00823E4B">
        <w:rPr>
          <w:rFonts w:ascii="Segoe UI" w:hAnsi="Segoe UI" w:cs="Segoe UI"/>
          <w:b/>
          <w:bCs/>
          <w:sz w:val="19"/>
          <w:szCs w:val="19"/>
        </w:rPr>
        <w:t xml:space="preserve">Système d’examen préalable : </w:t>
      </w:r>
      <w:r w:rsidRPr="00823E4B">
        <w:rPr>
          <w:rFonts w:ascii="Segoe UI" w:hAnsi="Segoe UI" w:cs="Segoe UI"/>
          <w:sz w:val="19"/>
          <w:szCs w:val="19"/>
        </w:rPr>
        <w:t xml:space="preserve">les échangeurs de </w:t>
      </w:r>
      <w:r w:rsidR="00C62E95">
        <w:rPr>
          <w:rFonts w:ascii="Segoe UI" w:hAnsi="Segoe UI" w:cs="Segoe UI"/>
          <w:sz w:val="19"/>
          <w:szCs w:val="19"/>
        </w:rPr>
        <w:t>cryptoactifs</w:t>
      </w:r>
      <w:r w:rsidRPr="00823E4B">
        <w:rPr>
          <w:rFonts w:ascii="Segoe UI" w:hAnsi="Segoe UI" w:cs="Segoe UI"/>
          <w:sz w:val="19"/>
          <w:szCs w:val="19"/>
        </w:rPr>
        <w:t xml:space="preserve"> sont tenus de se soumettre à un </w:t>
      </w:r>
      <w:r>
        <w:rPr>
          <w:rFonts w:ascii="Segoe UI" w:hAnsi="Segoe UI" w:cs="Segoe UI"/>
          <w:sz w:val="19"/>
          <w:szCs w:val="19"/>
        </w:rPr>
        <w:t xml:space="preserve">examen </w:t>
      </w:r>
      <w:r w:rsidRPr="00823E4B">
        <w:rPr>
          <w:rFonts w:ascii="Segoe UI" w:hAnsi="Segoe UI" w:cs="Segoe UI"/>
          <w:sz w:val="19"/>
          <w:szCs w:val="19"/>
        </w:rPr>
        <w:t xml:space="preserve">préalable de la JVCEA pour les </w:t>
      </w:r>
      <w:r w:rsidR="00C62E95">
        <w:rPr>
          <w:rFonts w:ascii="Segoe UI" w:hAnsi="Segoe UI" w:cs="Segoe UI"/>
          <w:sz w:val="19"/>
          <w:szCs w:val="19"/>
        </w:rPr>
        <w:t>cryptoactifs</w:t>
      </w:r>
      <w:r w:rsidRPr="00823E4B">
        <w:rPr>
          <w:rFonts w:ascii="Segoe UI" w:hAnsi="Segoe UI" w:cs="Segoe UI"/>
          <w:sz w:val="19"/>
          <w:szCs w:val="19"/>
        </w:rPr>
        <w:t xml:space="preserve"> qu'ils traitent (</w:t>
      </w:r>
      <w:r>
        <w:rPr>
          <w:rFonts w:ascii="Segoe UI" w:hAnsi="Segoe UI" w:cs="Segoe UI"/>
          <w:sz w:val="19"/>
          <w:szCs w:val="19"/>
        </w:rPr>
        <w:t xml:space="preserve">e.g. </w:t>
      </w:r>
      <w:r w:rsidRPr="00823E4B">
        <w:rPr>
          <w:rFonts w:ascii="Segoe UI" w:hAnsi="Segoe UI" w:cs="Segoe UI"/>
          <w:sz w:val="19"/>
          <w:szCs w:val="19"/>
        </w:rPr>
        <w:t xml:space="preserve">émissions </w:t>
      </w:r>
      <w:proofErr w:type="spellStart"/>
      <w:r w:rsidRPr="00823E4B">
        <w:rPr>
          <w:rFonts w:ascii="Segoe UI" w:hAnsi="Segoe UI" w:cs="Segoe UI"/>
          <w:sz w:val="19"/>
          <w:szCs w:val="19"/>
        </w:rPr>
        <w:t>iCO</w:t>
      </w:r>
      <w:proofErr w:type="spellEnd"/>
      <w:r w:rsidRPr="00823E4B">
        <w:rPr>
          <w:rFonts w:ascii="Segoe UI" w:hAnsi="Segoe UI" w:cs="Segoe UI"/>
          <w:sz w:val="19"/>
          <w:szCs w:val="19"/>
        </w:rPr>
        <w:t xml:space="preserve">/IEO ; </w:t>
      </w:r>
      <w:r>
        <w:rPr>
          <w:rFonts w:ascii="Segoe UI" w:hAnsi="Segoe UI" w:cs="Segoe UI"/>
          <w:sz w:val="19"/>
          <w:szCs w:val="19"/>
        </w:rPr>
        <w:t xml:space="preserve">tout </w:t>
      </w:r>
      <w:r w:rsidRPr="00823E4B">
        <w:rPr>
          <w:rFonts w:ascii="Segoe UI" w:hAnsi="Segoe UI" w:cs="Segoe UI"/>
          <w:sz w:val="19"/>
          <w:szCs w:val="19"/>
        </w:rPr>
        <w:t>crypto</w:t>
      </w:r>
      <w:r>
        <w:rPr>
          <w:rFonts w:ascii="Segoe UI" w:hAnsi="Segoe UI" w:cs="Segoe UI"/>
          <w:sz w:val="19"/>
          <w:szCs w:val="19"/>
        </w:rPr>
        <w:t>-</w:t>
      </w:r>
      <w:r w:rsidRPr="00823E4B">
        <w:rPr>
          <w:rFonts w:ascii="Segoe UI" w:hAnsi="Segoe UI" w:cs="Segoe UI"/>
          <w:sz w:val="19"/>
          <w:szCs w:val="19"/>
        </w:rPr>
        <w:t>actif échangé pour la 1</w:t>
      </w:r>
      <w:r w:rsidRPr="00823E4B">
        <w:rPr>
          <w:rFonts w:ascii="Segoe UI" w:hAnsi="Segoe UI" w:cs="Segoe UI"/>
          <w:sz w:val="19"/>
          <w:szCs w:val="19"/>
          <w:vertAlign w:val="superscript"/>
        </w:rPr>
        <w:t>ère</w:t>
      </w:r>
      <w:r w:rsidRPr="00823E4B">
        <w:rPr>
          <w:rFonts w:ascii="Segoe UI" w:hAnsi="Segoe UI" w:cs="Segoe UI"/>
          <w:sz w:val="19"/>
          <w:szCs w:val="19"/>
        </w:rPr>
        <w:t xml:space="preserve"> fois au Japon).</w:t>
      </w:r>
      <w:r w:rsidRPr="00823E4B">
        <w:rPr>
          <w:rFonts w:ascii="Segoe UI" w:hAnsi="Segoe UI" w:cs="Segoe UI"/>
          <w:b/>
          <w:bCs/>
          <w:sz w:val="19"/>
          <w:szCs w:val="19"/>
        </w:rPr>
        <w:t xml:space="preserve"> </w:t>
      </w:r>
    </w:p>
    <w:p w14:paraId="04EC2A96" w14:textId="00875755" w:rsidR="00705C66" w:rsidRPr="00A4218E" w:rsidRDefault="00705C66" w:rsidP="00705C66">
      <w:pPr>
        <w:tabs>
          <w:tab w:val="left" w:pos="1650"/>
        </w:tabs>
        <w:jc w:val="both"/>
        <w:rPr>
          <w:rFonts w:ascii="Segoe UI" w:hAnsi="Segoe UI" w:cs="Segoe UI"/>
          <w:sz w:val="20"/>
          <w:szCs w:val="20"/>
          <w:u w:val="single"/>
        </w:rPr>
      </w:pPr>
      <w:r w:rsidRPr="00A4218E">
        <w:rPr>
          <w:rFonts w:ascii="Segoe UI" w:hAnsi="Segoe UI" w:cs="Segoe UI"/>
          <w:sz w:val="20"/>
          <w:szCs w:val="20"/>
          <w:u w:val="single"/>
        </w:rPr>
        <w:t xml:space="preserve">Réglementation du </w:t>
      </w:r>
      <w:r w:rsidRPr="00A4218E">
        <w:rPr>
          <w:rFonts w:ascii="Segoe UI" w:hAnsi="Segoe UI" w:cs="Segoe UI"/>
          <w:i/>
          <w:iCs/>
          <w:sz w:val="20"/>
          <w:szCs w:val="20"/>
          <w:u w:val="single"/>
        </w:rPr>
        <w:t xml:space="preserve">Financial Instruments and Exchanges </w:t>
      </w:r>
      <w:proofErr w:type="spellStart"/>
      <w:r w:rsidRPr="00A4218E">
        <w:rPr>
          <w:rFonts w:ascii="Segoe UI" w:hAnsi="Segoe UI" w:cs="Segoe UI"/>
          <w:i/>
          <w:iCs/>
          <w:sz w:val="20"/>
          <w:szCs w:val="20"/>
          <w:u w:val="single"/>
        </w:rPr>
        <w:t>Act</w:t>
      </w:r>
      <w:proofErr w:type="spellEnd"/>
      <w:r w:rsidRPr="00A4218E">
        <w:rPr>
          <w:rFonts w:ascii="Segoe UI" w:hAnsi="Segoe UI" w:cs="Segoe UI"/>
          <w:sz w:val="20"/>
          <w:szCs w:val="20"/>
          <w:u w:val="single"/>
        </w:rPr>
        <w:t>, relative au blanchiment d’argent</w:t>
      </w:r>
    </w:p>
    <w:p w14:paraId="732A798E" w14:textId="1DA63376" w:rsidR="00705C66" w:rsidRPr="00A4218E" w:rsidRDefault="00705C66" w:rsidP="00705C66">
      <w:pPr>
        <w:tabs>
          <w:tab w:val="left" w:pos="1650"/>
        </w:tabs>
        <w:jc w:val="both"/>
        <w:rPr>
          <w:rFonts w:ascii="Segoe UI" w:hAnsi="Segoe UI" w:cs="Segoe UI"/>
          <w:sz w:val="20"/>
          <w:szCs w:val="20"/>
        </w:rPr>
      </w:pPr>
      <w:r w:rsidRPr="00A4218E">
        <w:rPr>
          <w:rFonts w:ascii="Segoe UI" w:hAnsi="Segoe UI" w:cs="Segoe UI"/>
          <w:sz w:val="20"/>
          <w:szCs w:val="20"/>
        </w:rPr>
        <w:t xml:space="preserve">Le </w:t>
      </w:r>
      <w:r w:rsidRPr="00A4218E">
        <w:rPr>
          <w:rFonts w:ascii="Segoe UI" w:hAnsi="Segoe UI" w:cs="Segoe UI"/>
          <w:i/>
          <w:iCs/>
          <w:sz w:val="20"/>
          <w:szCs w:val="20"/>
        </w:rPr>
        <w:t>FIEA</w:t>
      </w:r>
      <w:r w:rsidRPr="00A4218E">
        <w:rPr>
          <w:rFonts w:ascii="Segoe UI" w:hAnsi="Segoe UI" w:cs="Segoe UI"/>
          <w:sz w:val="20"/>
          <w:szCs w:val="20"/>
        </w:rPr>
        <w:t xml:space="preserve"> contient certains articles pour prévenir les actes malveillants autour des opérations dérivées de </w:t>
      </w:r>
      <w:r w:rsidR="009F5EED">
        <w:rPr>
          <w:rFonts w:ascii="Segoe UI" w:hAnsi="Segoe UI" w:cs="Segoe UI"/>
          <w:sz w:val="20"/>
          <w:szCs w:val="20"/>
        </w:rPr>
        <w:t>cryptoactif</w:t>
      </w:r>
      <w:r w:rsidRPr="00A4218E">
        <w:rPr>
          <w:rFonts w:ascii="Segoe UI" w:hAnsi="Segoe UI" w:cs="Segoe UI"/>
          <w:sz w:val="20"/>
          <w:szCs w:val="20"/>
        </w:rPr>
        <w:t xml:space="preserve">s et des transactions au comptant de </w:t>
      </w:r>
      <w:r w:rsidR="009F5EED">
        <w:rPr>
          <w:rFonts w:ascii="Segoe UI" w:hAnsi="Segoe UI" w:cs="Segoe UI"/>
          <w:sz w:val="20"/>
          <w:szCs w:val="20"/>
        </w:rPr>
        <w:t>cryptoactif</w:t>
      </w:r>
      <w:r w:rsidRPr="00A4218E">
        <w:rPr>
          <w:rFonts w:ascii="Segoe UI" w:hAnsi="Segoe UI" w:cs="Segoe UI"/>
          <w:sz w:val="20"/>
          <w:szCs w:val="20"/>
        </w:rPr>
        <w:t>s:</w:t>
      </w:r>
    </w:p>
    <w:p w14:paraId="3F863E36" w14:textId="49319098" w:rsidR="00705C66" w:rsidRPr="00A4218E" w:rsidRDefault="00705C66" w:rsidP="00705C66">
      <w:pPr>
        <w:pStyle w:val="Paragraphedeliste"/>
        <w:numPr>
          <w:ilvl w:val="0"/>
          <w:numId w:val="44"/>
        </w:numPr>
        <w:tabs>
          <w:tab w:val="left" w:pos="1650"/>
        </w:tabs>
        <w:jc w:val="both"/>
        <w:rPr>
          <w:rFonts w:ascii="Segoe UI" w:hAnsi="Segoe UI" w:cs="Segoe UI"/>
          <w:sz w:val="20"/>
          <w:szCs w:val="20"/>
        </w:rPr>
      </w:pPr>
      <w:r w:rsidRPr="00A4218E">
        <w:rPr>
          <w:rFonts w:ascii="Segoe UI" w:hAnsi="Segoe UI" w:cs="Segoe UI"/>
          <w:sz w:val="20"/>
          <w:szCs w:val="20"/>
        </w:rPr>
        <w:t>Interdiction d’actes répréhensibles ;</w:t>
      </w:r>
    </w:p>
    <w:p w14:paraId="1C0D80C0" w14:textId="3DD91860" w:rsidR="00705C66" w:rsidRPr="00A4218E" w:rsidRDefault="00705C66" w:rsidP="00705C66">
      <w:pPr>
        <w:pStyle w:val="Paragraphedeliste"/>
        <w:numPr>
          <w:ilvl w:val="0"/>
          <w:numId w:val="44"/>
        </w:numPr>
        <w:tabs>
          <w:tab w:val="left" w:pos="1650"/>
        </w:tabs>
        <w:jc w:val="both"/>
        <w:rPr>
          <w:rFonts w:ascii="Segoe UI" w:hAnsi="Segoe UI" w:cs="Segoe UI"/>
          <w:sz w:val="20"/>
          <w:szCs w:val="20"/>
        </w:rPr>
      </w:pPr>
      <w:r w:rsidRPr="00A4218E">
        <w:rPr>
          <w:rFonts w:ascii="Segoe UI" w:hAnsi="Segoe UI" w:cs="Segoe UI"/>
          <w:sz w:val="20"/>
          <w:szCs w:val="20"/>
        </w:rPr>
        <w:t>Interdiction de la dissémination de rumeurs, usages frauduleux, intimidation ;</w:t>
      </w:r>
    </w:p>
    <w:p w14:paraId="4D110524" w14:textId="4C88ECD9" w:rsidR="00705C66" w:rsidRPr="00A4218E" w:rsidRDefault="00705C66" w:rsidP="00705C66">
      <w:pPr>
        <w:pStyle w:val="Paragraphedeliste"/>
        <w:numPr>
          <w:ilvl w:val="0"/>
          <w:numId w:val="44"/>
        </w:numPr>
        <w:tabs>
          <w:tab w:val="left" w:pos="1650"/>
        </w:tabs>
        <w:jc w:val="both"/>
        <w:rPr>
          <w:rFonts w:ascii="Segoe UI" w:hAnsi="Segoe UI" w:cs="Segoe UI"/>
          <w:sz w:val="20"/>
          <w:szCs w:val="20"/>
        </w:rPr>
      </w:pPr>
      <w:r w:rsidRPr="00A4218E">
        <w:rPr>
          <w:rFonts w:ascii="Segoe UI" w:hAnsi="Segoe UI" w:cs="Segoe UI"/>
          <w:sz w:val="20"/>
          <w:szCs w:val="20"/>
        </w:rPr>
        <w:t>Interdiction de la manipulation de marché.</w:t>
      </w:r>
    </w:p>
    <w:p w14:paraId="20FF032E" w14:textId="793FEADD" w:rsidR="00705C66" w:rsidRPr="00A4218E" w:rsidRDefault="00705C66" w:rsidP="00705C66">
      <w:pPr>
        <w:tabs>
          <w:tab w:val="left" w:pos="1650"/>
        </w:tabs>
        <w:jc w:val="both"/>
        <w:rPr>
          <w:rFonts w:ascii="Segoe UI" w:hAnsi="Segoe UI" w:cs="Segoe UI"/>
          <w:sz w:val="20"/>
          <w:szCs w:val="20"/>
          <w:u w:val="single"/>
        </w:rPr>
      </w:pPr>
      <w:r w:rsidRPr="00A4218E">
        <w:rPr>
          <w:rFonts w:ascii="Segoe UI" w:hAnsi="Segoe UI" w:cs="Segoe UI"/>
          <w:sz w:val="20"/>
          <w:szCs w:val="20"/>
          <w:u w:val="single"/>
        </w:rPr>
        <w:t>Conformément à l’</w:t>
      </w:r>
      <w:proofErr w:type="spellStart"/>
      <w:r w:rsidRPr="00A4218E">
        <w:rPr>
          <w:rFonts w:ascii="Segoe UI" w:hAnsi="Segoe UI" w:cs="Segoe UI"/>
          <w:i/>
          <w:iCs/>
          <w:sz w:val="20"/>
          <w:szCs w:val="20"/>
          <w:u w:val="single"/>
        </w:rPr>
        <w:t>Act</w:t>
      </w:r>
      <w:proofErr w:type="spellEnd"/>
      <w:r w:rsidRPr="00A4218E">
        <w:rPr>
          <w:rFonts w:ascii="Segoe UI" w:hAnsi="Segoe UI" w:cs="Segoe UI"/>
          <w:i/>
          <w:iCs/>
          <w:sz w:val="20"/>
          <w:szCs w:val="20"/>
          <w:u w:val="single"/>
        </w:rPr>
        <w:t xml:space="preserve"> on Prevention of Transfer of Criminal </w:t>
      </w:r>
      <w:proofErr w:type="spellStart"/>
      <w:r w:rsidRPr="00A4218E">
        <w:rPr>
          <w:rFonts w:ascii="Segoe UI" w:hAnsi="Segoe UI" w:cs="Segoe UI"/>
          <w:i/>
          <w:iCs/>
          <w:sz w:val="20"/>
          <w:szCs w:val="20"/>
          <w:u w:val="single"/>
        </w:rPr>
        <w:t>Proceeds</w:t>
      </w:r>
      <w:proofErr w:type="spellEnd"/>
      <w:r w:rsidRPr="00A4218E">
        <w:rPr>
          <w:rFonts w:ascii="Segoe UI" w:hAnsi="Segoe UI" w:cs="Segoe UI"/>
          <w:sz w:val="20"/>
          <w:szCs w:val="20"/>
          <w:u w:val="single"/>
        </w:rPr>
        <w:t>, les CAESPS doivent:</w:t>
      </w:r>
    </w:p>
    <w:p w14:paraId="7229D207" w14:textId="409115E2" w:rsidR="00705C66" w:rsidRPr="00A4218E" w:rsidRDefault="00705C66" w:rsidP="00705C66">
      <w:pPr>
        <w:pStyle w:val="Paragraphedeliste"/>
        <w:numPr>
          <w:ilvl w:val="0"/>
          <w:numId w:val="43"/>
        </w:numPr>
        <w:tabs>
          <w:tab w:val="left" w:pos="1650"/>
        </w:tabs>
        <w:jc w:val="both"/>
        <w:rPr>
          <w:rFonts w:ascii="Segoe UI" w:hAnsi="Segoe UI" w:cs="Segoe UI"/>
          <w:sz w:val="20"/>
          <w:szCs w:val="20"/>
        </w:rPr>
      </w:pPr>
      <w:r w:rsidRPr="00A4218E">
        <w:rPr>
          <w:rFonts w:ascii="Segoe UI" w:hAnsi="Segoe UI" w:cs="Segoe UI"/>
          <w:sz w:val="20"/>
          <w:szCs w:val="20"/>
        </w:rPr>
        <w:t>Vérifier les données d’identification du consommateur et de la personne ayant un contrôle substantiel sur les activités du consommateur, dans le but de réaliser une transaction ;</w:t>
      </w:r>
    </w:p>
    <w:p w14:paraId="496B39F9" w14:textId="6550551D" w:rsidR="00705C66" w:rsidRPr="00A4218E" w:rsidRDefault="00705C66" w:rsidP="00705C66">
      <w:pPr>
        <w:pStyle w:val="Paragraphedeliste"/>
        <w:numPr>
          <w:ilvl w:val="0"/>
          <w:numId w:val="43"/>
        </w:numPr>
        <w:tabs>
          <w:tab w:val="left" w:pos="1650"/>
        </w:tabs>
        <w:jc w:val="both"/>
        <w:rPr>
          <w:rFonts w:ascii="Segoe UI" w:hAnsi="Segoe UI" w:cs="Segoe UI"/>
          <w:sz w:val="20"/>
          <w:szCs w:val="20"/>
        </w:rPr>
      </w:pPr>
      <w:r w:rsidRPr="00A4218E">
        <w:rPr>
          <w:rFonts w:ascii="Segoe UI" w:hAnsi="Segoe UI" w:cs="Segoe UI"/>
          <w:sz w:val="20"/>
          <w:szCs w:val="20"/>
        </w:rPr>
        <w:t>Préparer des dossiers de vérification et d’historiques de transactions ;</w:t>
      </w:r>
    </w:p>
    <w:p w14:paraId="319BE0CC" w14:textId="490F1CB2" w:rsidR="00705C66" w:rsidRPr="00A4218E" w:rsidRDefault="00705C66" w:rsidP="00705C66">
      <w:pPr>
        <w:pStyle w:val="Paragraphedeliste"/>
        <w:numPr>
          <w:ilvl w:val="0"/>
          <w:numId w:val="43"/>
        </w:numPr>
        <w:tabs>
          <w:tab w:val="left" w:pos="1650"/>
        </w:tabs>
        <w:jc w:val="both"/>
        <w:rPr>
          <w:rFonts w:ascii="Segoe UI" w:hAnsi="Segoe UI" w:cs="Segoe UI"/>
          <w:sz w:val="20"/>
          <w:szCs w:val="20"/>
        </w:rPr>
      </w:pPr>
      <w:r w:rsidRPr="00A4218E">
        <w:rPr>
          <w:rFonts w:ascii="Segoe UI" w:hAnsi="Segoe UI" w:cs="Segoe UI"/>
          <w:sz w:val="20"/>
          <w:szCs w:val="20"/>
        </w:rPr>
        <w:t>Maintenir les dossiers/historiques durant 7 ans ;</w:t>
      </w:r>
    </w:p>
    <w:p w14:paraId="67F42E6C" w14:textId="1E106FB3" w:rsidR="0024364F" w:rsidRPr="00EF31A7" w:rsidRDefault="00705C66" w:rsidP="0024364F">
      <w:pPr>
        <w:pStyle w:val="Paragraphedeliste"/>
        <w:numPr>
          <w:ilvl w:val="0"/>
          <w:numId w:val="43"/>
        </w:numPr>
        <w:tabs>
          <w:tab w:val="left" w:pos="1650"/>
        </w:tabs>
        <w:jc w:val="both"/>
        <w:rPr>
          <w:rFonts w:ascii="Segoe UI" w:hAnsi="Segoe UI" w:cs="Segoe UI"/>
          <w:sz w:val="20"/>
          <w:szCs w:val="20"/>
        </w:rPr>
      </w:pPr>
      <w:r w:rsidRPr="00A4218E">
        <w:rPr>
          <w:rFonts w:ascii="Segoe UI" w:hAnsi="Segoe UI" w:cs="Segoe UI"/>
          <w:sz w:val="20"/>
          <w:szCs w:val="20"/>
        </w:rPr>
        <w:t>Reporter les transactions suspectes aux autorités pertinentes.</w:t>
      </w:r>
    </w:p>
    <w:p w14:paraId="4A4E6CEC" w14:textId="58349900" w:rsidR="00F73375" w:rsidRDefault="00F73375" w:rsidP="00F73375">
      <w:pPr>
        <w:spacing w:after="0" w:line="240" w:lineRule="auto"/>
        <w:rPr>
          <w:rFonts w:ascii="Segoe UI" w:hAnsi="Segoe UI" w:cs="Segoe UI"/>
          <w:b/>
          <w:bCs/>
          <w:sz w:val="20"/>
          <w:szCs w:val="20"/>
          <w:u w:val="single"/>
        </w:rPr>
      </w:pPr>
      <w:r w:rsidRPr="00A4218E">
        <w:rPr>
          <w:rFonts w:ascii="Segoe UI" w:hAnsi="Segoe UI" w:cs="Segoe UI"/>
          <w:b/>
          <w:bCs/>
          <w:sz w:val="20"/>
          <w:szCs w:val="20"/>
          <w:u w:val="single"/>
        </w:rPr>
        <w:t>Annexe n°</w:t>
      </w:r>
      <w:r w:rsidR="004A7B48">
        <w:rPr>
          <w:rFonts w:ascii="Segoe UI" w:hAnsi="Segoe UI" w:cs="Segoe UI"/>
          <w:b/>
          <w:bCs/>
          <w:sz w:val="20"/>
          <w:szCs w:val="20"/>
          <w:u w:val="single"/>
        </w:rPr>
        <w:t>6</w:t>
      </w:r>
      <w:r w:rsidRPr="00A4218E">
        <w:rPr>
          <w:rFonts w:ascii="Segoe UI" w:hAnsi="Segoe UI" w:cs="Segoe UI"/>
          <w:b/>
          <w:bCs/>
          <w:sz w:val="20"/>
          <w:szCs w:val="20"/>
          <w:u w:val="single"/>
        </w:rPr>
        <w:t xml:space="preserve"> : </w:t>
      </w:r>
      <w:r w:rsidR="00EF31A7">
        <w:rPr>
          <w:rFonts w:ascii="Segoe UI" w:hAnsi="Segoe UI" w:cs="Segoe UI"/>
          <w:b/>
          <w:bCs/>
          <w:sz w:val="20"/>
          <w:szCs w:val="20"/>
          <w:u w:val="single"/>
        </w:rPr>
        <w:t>Engagement japonais en faveur d’une réglementation internationale des cryptoactifs</w:t>
      </w:r>
    </w:p>
    <w:p w14:paraId="28B9C096" w14:textId="77777777" w:rsidR="00F73375" w:rsidRPr="00F73375" w:rsidRDefault="00F73375" w:rsidP="00F73375">
      <w:pPr>
        <w:spacing w:after="0" w:line="240" w:lineRule="auto"/>
        <w:rPr>
          <w:rFonts w:ascii="Segoe UI" w:hAnsi="Segoe UI" w:cs="Segoe UI"/>
          <w:b/>
          <w:bCs/>
          <w:sz w:val="20"/>
          <w:szCs w:val="20"/>
          <w:u w:val="single"/>
        </w:rPr>
      </w:pPr>
    </w:p>
    <w:p w14:paraId="00EB1DF7" w14:textId="13493591" w:rsidR="00F73375" w:rsidRPr="00301579" w:rsidRDefault="00EF31A7" w:rsidP="00F73375">
      <w:pPr>
        <w:spacing w:after="0" w:line="240" w:lineRule="auto"/>
        <w:jc w:val="both"/>
        <w:rPr>
          <w:rFonts w:ascii="Segoe UI" w:hAnsi="Segoe UI" w:cs="Segoe UI"/>
          <w:color w:val="0070C0"/>
          <w:spacing w:val="-2"/>
          <w:sz w:val="20"/>
          <w:szCs w:val="20"/>
          <w:u w:val="single"/>
        </w:rPr>
      </w:pPr>
      <w:r w:rsidRPr="00EF31A7">
        <w:rPr>
          <w:rFonts w:ascii="Segoe UI" w:hAnsi="Segoe UI" w:cs="Segoe UI"/>
          <w:sz w:val="19"/>
          <w:szCs w:val="19"/>
        </w:rPr>
        <w:t>La</w:t>
      </w:r>
      <w:r w:rsidR="00F73375" w:rsidRPr="00EF31A7">
        <w:rPr>
          <w:rFonts w:ascii="Segoe UI" w:hAnsi="Segoe UI" w:cs="Segoe UI"/>
          <w:sz w:val="19"/>
          <w:szCs w:val="19"/>
        </w:rPr>
        <w:t xml:space="preserve"> FSA participe à la finalisation d’un cadre réglementaire global via le </w:t>
      </w:r>
      <w:r w:rsidR="00F73375" w:rsidRPr="00EF31A7">
        <w:rPr>
          <w:rFonts w:ascii="Segoe UI" w:hAnsi="Segoe UI" w:cs="Segoe UI"/>
          <w:i/>
          <w:iCs/>
          <w:sz w:val="19"/>
          <w:szCs w:val="19"/>
        </w:rPr>
        <w:t xml:space="preserve">Financial </w:t>
      </w:r>
      <w:proofErr w:type="spellStart"/>
      <w:r w:rsidR="00F73375" w:rsidRPr="00EF31A7">
        <w:rPr>
          <w:rFonts w:ascii="Segoe UI" w:hAnsi="Segoe UI" w:cs="Segoe UI"/>
          <w:i/>
          <w:iCs/>
          <w:sz w:val="19"/>
          <w:szCs w:val="19"/>
        </w:rPr>
        <w:t>Stability</w:t>
      </w:r>
      <w:proofErr w:type="spellEnd"/>
      <w:r w:rsidR="00F73375" w:rsidRPr="00EF31A7">
        <w:rPr>
          <w:rFonts w:ascii="Segoe UI" w:hAnsi="Segoe UI" w:cs="Segoe UI"/>
          <w:i/>
          <w:iCs/>
          <w:sz w:val="19"/>
          <w:szCs w:val="19"/>
        </w:rPr>
        <w:t xml:space="preserve"> </w:t>
      </w:r>
      <w:proofErr w:type="spellStart"/>
      <w:r w:rsidR="00F73375" w:rsidRPr="00EF31A7">
        <w:rPr>
          <w:rFonts w:ascii="Segoe UI" w:hAnsi="Segoe UI" w:cs="Segoe UI"/>
          <w:i/>
          <w:iCs/>
          <w:sz w:val="19"/>
          <w:szCs w:val="19"/>
        </w:rPr>
        <w:t>Board</w:t>
      </w:r>
      <w:proofErr w:type="spellEnd"/>
      <w:r w:rsidR="00F73375" w:rsidRPr="00EF31A7">
        <w:rPr>
          <w:rFonts w:ascii="Segoe UI" w:hAnsi="Segoe UI" w:cs="Segoe UI"/>
          <w:sz w:val="19"/>
          <w:szCs w:val="19"/>
        </w:rPr>
        <w:t xml:space="preserve"> d’ici juillet 2023, pour lequel les pays du G7 ont réaffirmé leur soutien lors de la ministérielle finances en mai. Le communiqué du G7 recommande également d’accélérer la mise en œuvre de la « Règle du voyage »</w:t>
      </w:r>
      <w:r w:rsidR="00F73375" w:rsidRPr="00EF31A7">
        <w:rPr>
          <w:rStyle w:val="Appelnotedebasdep"/>
          <w:rFonts w:ascii="Segoe UI" w:hAnsi="Segoe UI" w:cs="Segoe UI"/>
          <w:sz w:val="19"/>
          <w:szCs w:val="19"/>
        </w:rPr>
        <w:footnoteReference w:id="1"/>
      </w:r>
      <w:r w:rsidR="00F73375" w:rsidRPr="00EF31A7">
        <w:rPr>
          <w:rFonts w:ascii="Segoe UI" w:hAnsi="Segoe UI" w:cs="Segoe UI"/>
          <w:sz w:val="19"/>
          <w:szCs w:val="19"/>
        </w:rPr>
        <w:t xml:space="preserve"> du GAFI, que le Japon appliquera dès le 1</w:t>
      </w:r>
      <w:r w:rsidR="00F73375" w:rsidRPr="00EF31A7">
        <w:rPr>
          <w:rFonts w:ascii="Segoe UI" w:hAnsi="Segoe UI" w:cs="Segoe UI"/>
          <w:sz w:val="19"/>
          <w:szCs w:val="19"/>
          <w:vertAlign w:val="superscript"/>
        </w:rPr>
        <w:t>er</w:t>
      </w:r>
      <w:r w:rsidR="00F73375" w:rsidRPr="00EF31A7">
        <w:rPr>
          <w:rFonts w:ascii="Segoe UI" w:hAnsi="Segoe UI" w:cs="Segoe UI"/>
          <w:sz w:val="19"/>
          <w:szCs w:val="19"/>
        </w:rPr>
        <w:t xml:space="preserve"> juin : aux yeux du Japon, la diffusion de cette règle est indispensable au renforcement du cadre international contre le blanchiment d’argent, le financement du terrorisme et le financement de la prolifération.</w:t>
      </w:r>
      <w:r w:rsidR="00F73375">
        <w:rPr>
          <w:rFonts w:ascii="Segoe UI" w:hAnsi="Segoe UI" w:cs="Segoe UI"/>
          <w:sz w:val="19"/>
          <w:szCs w:val="19"/>
        </w:rPr>
        <w:t xml:space="preserve"> </w:t>
      </w:r>
    </w:p>
    <w:p w14:paraId="73B8503D" w14:textId="77777777" w:rsidR="00F73375" w:rsidRPr="0024364F" w:rsidRDefault="00F73375" w:rsidP="0024364F"/>
    <w:sectPr w:rsidR="00F73375" w:rsidRPr="0024364F" w:rsidSect="004F6978">
      <w:headerReference w:type="first" r:id="rId15"/>
      <w:pgSz w:w="11906" w:h="16838"/>
      <w:pgMar w:top="709" w:right="707" w:bottom="426" w:left="85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4051E" w14:textId="77777777" w:rsidR="00B745E7" w:rsidRDefault="00B745E7" w:rsidP="000F2A72">
      <w:pPr>
        <w:spacing w:after="0" w:line="240" w:lineRule="auto"/>
      </w:pPr>
      <w:r>
        <w:separator/>
      </w:r>
    </w:p>
  </w:endnote>
  <w:endnote w:type="continuationSeparator" w:id="0">
    <w:p w14:paraId="751EA7E8" w14:textId="77777777" w:rsidR="00B745E7" w:rsidRDefault="00B745E7" w:rsidP="000F2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419A0" w14:textId="77777777" w:rsidR="00B745E7" w:rsidRDefault="00B745E7" w:rsidP="000F2A72">
      <w:pPr>
        <w:spacing w:after="0" w:line="240" w:lineRule="auto"/>
      </w:pPr>
      <w:r>
        <w:separator/>
      </w:r>
    </w:p>
  </w:footnote>
  <w:footnote w:type="continuationSeparator" w:id="0">
    <w:p w14:paraId="75C2B7F8" w14:textId="77777777" w:rsidR="00B745E7" w:rsidRDefault="00B745E7" w:rsidP="000F2A72">
      <w:pPr>
        <w:spacing w:after="0" w:line="240" w:lineRule="auto"/>
      </w:pPr>
      <w:r>
        <w:continuationSeparator/>
      </w:r>
    </w:p>
  </w:footnote>
  <w:footnote w:id="1">
    <w:p w14:paraId="46334841" w14:textId="77777777" w:rsidR="00F73375" w:rsidRPr="00256566" w:rsidRDefault="00F73375" w:rsidP="00F73375">
      <w:pPr>
        <w:tabs>
          <w:tab w:val="left" w:pos="1792"/>
        </w:tabs>
        <w:spacing w:after="0" w:line="240" w:lineRule="auto"/>
        <w:contextualSpacing/>
        <w:jc w:val="both"/>
        <w:rPr>
          <w:rFonts w:ascii="Segoe UI" w:hAnsi="Segoe UI" w:cs="Segoe UI"/>
          <w:sz w:val="16"/>
          <w:szCs w:val="16"/>
        </w:rPr>
      </w:pPr>
      <w:r>
        <w:rPr>
          <w:rStyle w:val="Appelnotedebasdep"/>
        </w:rPr>
        <w:footnoteRef/>
      </w:r>
      <w:r>
        <w:t xml:space="preserve"> </w:t>
      </w:r>
      <w:r w:rsidRPr="00A47137">
        <w:rPr>
          <w:rFonts w:ascii="Segoe UI" w:hAnsi="Segoe UI" w:cs="Segoe UI"/>
          <w:sz w:val="16"/>
          <w:szCs w:val="16"/>
        </w:rPr>
        <w:t>La Règle de voyage (« </w:t>
      </w:r>
      <w:proofErr w:type="spellStart"/>
      <w:r w:rsidRPr="00A47137">
        <w:rPr>
          <w:rFonts w:ascii="Segoe UI" w:hAnsi="Segoe UI" w:cs="Segoe UI"/>
          <w:i/>
          <w:iCs/>
          <w:sz w:val="16"/>
          <w:szCs w:val="16"/>
        </w:rPr>
        <w:t>travel</w:t>
      </w:r>
      <w:proofErr w:type="spellEnd"/>
      <w:r w:rsidRPr="00A47137">
        <w:rPr>
          <w:rFonts w:ascii="Segoe UI" w:hAnsi="Segoe UI" w:cs="Segoe UI"/>
          <w:i/>
          <w:iCs/>
          <w:sz w:val="16"/>
          <w:szCs w:val="16"/>
        </w:rPr>
        <w:t xml:space="preserve"> </w:t>
      </w:r>
      <w:proofErr w:type="spellStart"/>
      <w:r w:rsidRPr="00A47137">
        <w:rPr>
          <w:rFonts w:ascii="Segoe UI" w:hAnsi="Segoe UI" w:cs="Segoe UI"/>
          <w:i/>
          <w:iCs/>
          <w:sz w:val="16"/>
          <w:szCs w:val="16"/>
        </w:rPr>
        <w:t>rule</w:t>
      </w:r>
      <w:proofErr w:type="spellEnd"/>
      <w:r w:rsidRPr="00A47137">
        <w:rPr>
          <w:rFonts w:ascii="Segoe UI" w:hAnsi="Segoe UI" w:cs="Segoe UI"/>
          <w:sz w:val="16"/>
          <w:szCs w:val="16"/>
        </w:rPr>
        <w:t xml:space="preserve"> ») autorise les services de cryptoactifs à filtrer et surveiller les activités de leurs clients à des fins de prévention des activités illicites (restriction de l’accès aux crypto-actifs pour les criminels et terroristes ; réduction des risques de violations de sanctions financières).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EA7A4" w14:textId="0DB6C611" w:rsidR="000336E2" w:rsidRDefault="00D62B58" w:rsidP="00D62B58">
    <w:pPr>
      <w:pStyle w:val="Intituldirection"/>
      <w:rPr>
        <w:lang w:val="fr-FR"/>
      </w:rPr>
    </w:pPr>
    <w:r>
      <w:rPr>
        <w:noProof/>
      </w:rPr>
      <w:drawing>
        <wp:anchor distT="0" distB="0" distL="114300" distR="114300" simplePos="0" relativeHeight="251658240" behindDoc="0" locked="0" layoutInCell="1" allowOverlap="1" wp14:anchorId="37D92E54" wp14:editId="5AF25576">
          <wp:simplePos x="0" y="0"/>
          <wp:positionH relativeFrom="column">
            <wp:posOffset>-166397</wp:posOffset>
          </wp:positionH>
          <wp:positionV relativeFrom="paragraph">
            <wp:posOffset>-150606</wp:posOffset>
          </wp:positionV>
          <wp:extent cx="2091193" cy="1152939"/>
          <wp:effectExtent l="0" t="0" r="0" b="0"/>
          <wp:wrapNone/>
          <wp:docPr id="16" name="Image 16"/>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193" cy="11529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36E2">
      <w:rPr>
        <w:lang w:val="fr-FR"/>
      </w:rPr>
      <w:t>Direction générale du Trésor</w:t>
    </w:r>
  </w:p>
  <w:p w14:paraId="0382198C" w14:textId="77777777" w:rsidR="000336E2" w:rsidRPr="00F645A6" w:rsidRDefault="000336E2" w:rsidP="00F645A6">
    <w:pPr>
      <w:pStyle w:val="Corpsdetex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4.05pt;height:14.05pt" o:bullet="t">
        <v:imagedata r:id="rId1" o:title="clip_image001"/>
      </v:shape>
    </w:pict>
  </w:numPicBullet>
  <w:abstractNum w:abstractNumId="0" w15:restartNumberingAfterBreak="0">
    <w:nsid w:val="004B684F"/>
    <w:multiLevelType w:val="hybridMultilevel"/>
    <w:tmpl w:val="4F44574A"/>
    <w:lvl w:ilvl="0" w:tplc="B57A883E">
      <w:start w:val="2020"/>
      <w:numFmt w:val="decimal"/>
      <w:lvlText w:val="%1"/>
      <w:lvlJc w:val="left"/>
      <w:pPr>
        <w:ind w:left="-955" w:hanging="420"/>
      </w:pPr>
      <w:rPr>
        <w:rFonts w:ascii="Segoe UI" w:eastAsiaTheme="minorHAnsi" w:hAnsi="Segoe UI" w:cs="Segoe UI" w:hint="default"/>
      </w:rPr>
    </w:lvl>
    <w:lvl w:ilvl="1" w:tplc="040C0019" w:tentative="1">
      <w:start w:val="1"/>
      <w:numFmt w:val="lowerLetter"/>
      <w:lvlText w:val="%2."/>
      <w:lvlJc w:val="left"/>
      <w:pPr>
        <w:ind w:left="-295" w:hanging="360"/>
      </w:pPr>
    </w:lvl>
    <w:lvl w:ilvl="2" w:tplc="040C001B" w:tentative="1">
      <w:start w:val="1"/>
      <w:numFmt w:val="lowerRoman"/>
      <w:lvlText w:val="%3."/>
      <w:lvlJc w:val="right"/>
      <w:pPr>
        <w:ind w:left="425" w:hanging="180"/>
      </w:pPr>
    </w:lvl>
    <w:lvl w:ilvl="3" w:tplc="040C000F" w:tentative="1">
      <w:start w:val="1"/>
      <w:numFmt w:val="decimal"/>
      <w:lvlText w:val="%4."/>
      <w:lvlJc w:val="left"/>
      <w:pPr>
        <w:ind w:left="1145" w:hanging="360"/>
      </w:pPr>
    </w:lvl>
    <w:lvl w:ilvl="4" w:tplc="040C0019" w:tentative="1">
      <w:start w:val="1"/>
      <w:numFmt w:val="lowerLetter"/>
      <w:lvlText w:val="%5."/>
      <w:lvlJc w:val="left"/>
      <w:pPr>
        <w:ind w:left="1865" w:hanging="360"/>
      </w:pPr>
    </w:lvl>
    <w:lvl w:ilvl="5" w:tplc="040C001B" w:tentative="1">
      <w:start w:val="1"/>
      <w:numFmt w:val="lowerRoman"/>
      <w:lvlText w:val="%6."/>
      <w:lvlJc w:val="right"/>
      <w:pPr>
        <w:ind w:left="2585" w:hanging="180"/>
      </w:pPr>
    </w:lvl>
    <w:lvl w:ilvl="6" w:tplc="040C000F" w:tentative="1">
      <w:start w:val="1"/>
      <w:numFmt w:val="decimal"/>
      <w:lvlText w:val="%7."/>
      <w:lvlJc w:val="left"/>
      <w:pPr>
        <w:ind w:left="3305" w:hanging="360"/>
      </w:pPr>
    </w:lvl>
    <w:lvl w:ilvl="7" w:tplc="040C0019" w:tentative="1">
      <w:start w:val="1"/>
      <w:numFmt w:val="lowerLetter"/>
      <w:lvlText w:val="%8."/>
      <w:lvlJc w:val="left"/>
      <w:pPr>
        <w:ind w:left="4025" w:hanging="360"/>
      </w:pPr>
    </w:lvl>
    <w:lvl w:ilvl="8" w:tplc="040C001B" w:tentative="1">
      <w:start w:val="1"/>
      <w:numFmt w:val="lowerRoman"/>
      <w:lvlText w:val="%9."/>
      <w:lvlJc w:val="right"/>
      <w:pPr>
        <w:ind w:left="4745" w:hanging="180"/>
      </w:pPr>
    </w:lvl>
  </w:abstractNum>
  <w:abstractNum w:abstractNumId="1" w15:restartNumberingAfterBreak="0">
    <w:nsid w:val="00846C0C"/>
    <w:multiLevelType w:val="hybridMultilevel"/>
    <w:tmpl w:val="8E109806"/>
    <w:lvl w:ilvl="0" w:tplc="040C0005">
      <w:start w:val="1"/>
      <w:numFmt w:val="bullet"/>
      <w:lvlText w:val=""/>
      <w:lvlJc w:val="left"/>
      <w:pPr>
        <w:ind w:left="643" w:hanging="360"/>
      </w:pPr>
      <w:rPr>
        <w:rFonts w:ascii="Wingdings" w:hAnsi="Wingdings"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2" w15:restartNumberingAfterBreak="0">
    <w:nsid w:val="02F76496"/>
    <w:multiLevelType w:val="hybridMultilevel"/>
    <w:tmpl w:val="157221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3E6E8A"/>
    <w:multiLevelType w:val="hybridMultilevel"/>
    <w:tmpl w:val="1730CAEE"/>
    <w:lvl w:ilvl="0" w:tplc="40961640">
      <w:start w:val="3"/>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9412F45"/>
    <w:multiLevelType w:val="hybridMultilevel"/>
    <w:tmpl w:val="522E0FA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CE5492"/>
    <w:multiLevelType w:val="hybridMultilevel"/>
    <w:tmpl w:val="D2D4A9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612859"/>
    <w:multiLevelType w:val="hybridMultilevel"/>
    <w:tmpl w:val="3F028E7C"/>
    <w:lvl w:ilvl="0" w:tplc="28CEAC9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DAD1DA2"/>
    <w:multiLevelType w:val="hybridMultilevel"/>
    <w:tmpl w:val="E6D4F8FA"/>
    <w:lvl w:ilvl="0" w:tplc="27843CAC">
      <w:start w:val="2020"/>
      <w:numFmt w:val="bullet"/>
      <w:lvlText w:val=""/>
      <w:lvlJc w:val="left"/>
      <w:pPr>
        <w:ind w:left="720" w:hanging="360"/>
      </w:pPr>
      <w:rPr>
        <w:rFonts w:ascii="Wingdings" w:eastAsia="Times New Roman" w:hAnsi="Wingdings" w:cs="Times New Roman" w:hint="default"/>
        <w:color w:val="262626"/>
        <w:sz w:val="2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A43B09"/>
    <w:multiLevelType w:val="hybridMultilevel"/>
    <w:tmpl w:val="16C4AF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3024194"/>
    <w:multiLevelType w:val="hybridMultilevel"/>
    <w:tmpl w:val="20580F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B43797"/>
    <w:multiLevelType w:val="hybridMultilevel"/>
    <w:tmpl w:val="9C5033C2"/>
    <w:lvl w:ilvl="0" w:tplc="A1C2304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A96E88"/>
    <w:multiLevelType w:val="hybridMultilevel"/>
    <w:tmpl w:val="020490E4"/>
    <w:lvl w:ilvl="0" w:tplc="AFB2CCD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A983550"/>
    <w:multiLevelType w:val="hybridMultilevel"/>
    <w:tmpl w:val="CE08BFD0"/>
    <w:lvl w:ilvl="0" w:tplc="040C0005">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2302" w:hanging="360"/>
      </w:pPr>
      <w:rPr>
        <w:rFonts w:ascii="Courier New" w:hAnsi="Courier New" w:cs="Courier New" w:hint="default"/>
      </w:rPr>
    </w:lvl>
    <w:lvl w:ilvl="2" w:tplc="040C0005" w:tentative="1">
      <w:start w:val="1"/>
      <w:numFmt w:val="bullet"/>
      <w:lvlText w:val=""/>
      <w:lvlJc w:val="left"/>
      <w:pPr>
        <w:ind w:left="3022" w:hanging="360"/>
      </w:pPr>
      <w:rPr>
        <w:rFonts w:ascii="Wingdings" w:hAnsi="Wingdings" w:hint="default"/>
      </w:rPr>
    </w:lvl>
    <w:lvl w:ilvl="3" w:tplc="040C0001" w:tentative="1">
      <w:start w:val="1"/>
      <w:numFmt w:val="bullet"/>
      <w:lvlText w:val=""/>
      <w:lvlJc w:val="left"/>
      <w:pPr>
        <w:ind w:left="3742" w:hanging="360"/>
      </w:pPr>
      <w:rPr>
        <w:rFonts w:ascii="Symbol" w:hAnsi="Symbol" w:hint="default"/>
      </w:rPr>
    </w:lvl>
    <w:lvl w:ilvl="4" w:tplc="040C0003" w:tentative="1">
      <w:start w:val="1"/>
      <w:numFmt w:val="bullet"/>
      <w:lvlText w:val="o"/>
      <w:lvlJc w:val="left"/>
      <w:pPr>
        <w:ind w:left="4462" w:hanging="360"/>
      </w:pPr>
      <w:rPr>
        <w:rFonts w:ascii="Courier New" w:hAnsi="Courier New" w:cs="Courier New" w:hint="default"/>
      </w:rPr>
    </w:lvl>
    <w:lvl w:ilvl="5" w:tplc="040C0005" w:tentative="1">
      <w:start w:val="1"/>
      <w:numFmt w:val="bullet"/>
      <w:lvlText w:val=""/>
      <w:lvlJc w:val="left"/>
      <w:pPr>
        <w:ind w:left="5182" w:hanging="360"/>
      </w:pPr>
      <w:rPr>
        <w:rFonts w:ascii="Wingdings" w:hAnsi="Wingdings" w:hint="default"/>
      </w:rPr>
    </w:lvl>
    <w:lvl w:ilvl="6" w:tplc="040C0001" w:tentative="1">
      <w:start w:val="1"/>
      <w:numFmt w:val="bullet"/>
      <w:lvlText w:val=""/>
      <w:lvlJc w:val="left"/>
      <w:pPr>
        <w:ind w:left="5902" w:hanging="360"/>
      </w:pPr>
      <w:rPr>
        <w:rFonts w:ascii="Symbol" w:hAnsi="Symbol" w:hint="default"/>
      </w:rPr>
    </w:lvl>
    <w:lvl w:ilvl="7" w:tplc="040C0003" w:tentative="1">
      <w:start w:val="1"/>
      <w:numFmt w:val="bullet"/>
      <w:lvlText w:val="o"/>
      <w:lvlJc w:val="left"/>
      <w:pPr>
        <w:ind w:left="6622" w:hanging="360"/>
      </w:pPr>
      <w:rPr>
        <w:rFonts w:ascii="Courier New" w:hAnsi="Courier New" w:cs="Courier New" w:hint="default"/>
      </w:rPr>
    </w:lvl>
    <w:lvl w:ilvl="8" w:tplc="040C0005" w:tentative="1">
      <w:start w:val="1"/>
      <w:numFmt w:val="bullet"/>
      <w:lvlText w:val=""/>
      <w:lvlJc w:val="left"/>
      <w:pPr>
        <w:ind w:left="7342" w:hanging="360"/>
      </w:pPr>
      <w:rPr>
        <w:rFonts w:ascii="Wingdings" w:hAnsi="Wingdings" w:hint="default"/>
      </w:rPr>
    </w:lvl>
  </w:abstractNum>
  <w:abstractNum w:abstractNumId="14" w15:restartNumberingAfterBreak="0">
    <w:nsid w:val="2FB74188"/>
    <w:multiLevelType w:val="hybridMultilevel"/>
    <w:tmpl w:val="A1E8F338"/>
    <w:lvl w:ilvl="0" w:tplc="C442AE0C">
      <w:start w:val="1"/>
      <w:numFmt w:val="bullet"/>
      <w:lvlText w:val=""/>
      <w:lvlJc w:val="left"/>
      <w:pPr>
        <w:ind w:left="502" w:hanging="360"/>
      </w:pPr>
      <w:rPr>
        <w:rFonts w:ascii="Wingdings" w:eastAsiaTheme="minorHAnsi" w:hAnsi="Wingdings" w:cstheme="minorBid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5" w15:restartNumberingAfterBreak="0">
    <w:nsid w:val="3290698D"/>
    <w:multiLevelType w:val="hybridMultilevel"/>
    <w:tmpl w:val="2BA25348"/>
    <w:lvl w:ilvl="0" w:tplc="9D483DD2">
      <w:start w:val="1"/>
      <w:numFmt w:val="lowerRoman"/>
      <w:lvlText w:val="%1."/>
      <w:lvlJc w:val="left"/>
      <w:pPr>
        <w:ind w:left="862" w:hanging="720"/>
      </w:pPr>
      <w:rPr>
        <w:rFonts w:hint="default"/>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16" w15:restartNumberingAfterBreak="0">
    <w:nsid w:val="346E0B7A"/>
    <w:multiLevelType w:val="hybridMultilevel"/>
    <w:tmpl w:val="7BC0F214"/>
    <w:lvl w:ilvl="0" w:tplc="A26474D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5497C4A"/>
    <w:multiLevelType w:val="hybridMultilevel"/>
    <w:tmpl w:val="929261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9BF1AED"/>
    <w:multiLevelType w:val="hybridMultilevel"/>
    <w:tmpl w:val="4746E05A"/>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39CA34A2"/>
    <w:multiLevelType w:val="hybridMultilevel"/>
    <w:tmpl w:val="6CB247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C361831"/>
    <w:multiLevelType w:val="hybridMultilevel"/>
    <w:tmpl w:val="6A4A11D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CD61E27"/>
    <w:multiLevelType w:val="hybridMultilevel"/>
    <w:tmpl w:val="26A4B92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ECC5D85"/>
    <w:multiLevelType w:val="hybridMultilevel"/>
    <w:tmpl w:val="5ECC2652"/>
    <w:lvl w:ilvl="0" w:tplc="7C36A450">
      <w:start w:val="1"/>
      <w:numFmt w:val="decimal"/>
      <w:lvlText w:val="%1."/>
      <w:lvlJc w:val="left"/>
      <w:pPr>
        <w:ind w:left="502" w:hanging="360"/>
      </w:pPr>
      <w:rPr>
        <w:rFonts w:hint="default"/>
        <w:b/>
        <w:bCs/>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3" w15:restartNumberingAfterBreak="0">
    <w:nsid w:val="3EE7601A"/>
    <w:multiLevelType w:val="hybridMultilevel"/>
    <w:tmpl w:val="66DA4D04"/>
    <w:lvl w:ilvl="0" w:tplc="13308E7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1812F14"/>
    <w:multiLevelType w:val="hybridMultilevel"/>
    <w:tmpl w:val="F64C6144"/>
    <w:lvl w:ilvl="0" w:tplc="0C9E602C">
      <w:numFmt w:val="bullet"/>
      <w:lvlText w:val=""/>
      <w:lvlJc w:val="left"/>
      <w:pPr>
        <w:ind w:left="720" w:hanging="360"/>
      </w:pPr>
      <w:rPr>
        <w:rFonts w:ascii="Wingdings" w:eastAsia="MS Mincho" w:hAnsi="Wingdings" w:cs="Segoe U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1CF5B59"/>
    <w:multiLevelType w:val="hybridMultilevel"/>
    <w:tmpl w:val="7E90D2B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28E759C"/>
    <w:multiLevelType w:val="hybridMultilevel"/>
    <w:tmpl w:val="B9E6491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52B5524"/>
    <w:multiLevelType w:val="hybridMultilevel"/>
    <w:tmpl w:val="8026B0AE"/>
    <w:lvl w:ilvl="0" w:tplc="B8505BC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5B8677B"/>
    <w:multiLevelType w:val="hybridMultilevel"/>
    <w:tmpl w:val="2C6815CE"/>
    <w:lvl w:ilvl="0" w:tplc="040C0007">
      <w:start w:val="1"/>
      <w:numFmt w:val="bullet"/>
      <w:lvlText w:val=""/>
      <w:lvlPicBulletId w:val="0"/>
      <w:lvlJc w:val="left"/>
      <w:pPr>
        <w:ind w:left="108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473E4DC9"/>
    <w:multiLevelType w:val="hybridMultilevel"/>
    <w:tmpl w:val="AEF2F1C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D2E1176"/>
    <w:multiLevelType w:val="hybridMultilevel"/>
    <w:tmpl w:val="37F4F9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1091642"/>
    <w:multiLevelType w:val="hybridMultilevel"/>
    <w:tmpl w:val="6FEC379A"/>
    <w:lvl w:ilvl="0" w:tplc="C03C53A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2817694"/>
    <w:multiLevelType w:val="hybridMultilevel"/>
    <w:tmpl w:val="E07A32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C9F17EB"/>
    <w:multiLevelType w:val="hybridMultilevel"/>
    <w:tmpl w:val="4C444BFA"/>
    <w:lvl w:ilvl="0" w:tplc="E1D0AD0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1C516C7"/>
    <w:multiLevelType w:val="hybridMultilevel"/>
    <w:tmpl w:val="6E984460"/>
    <w:lvl w:ilvl="0" w:tplc="359C0650">
      <w:start w:val="4"/>
      <w:numFmt w:val="bullet"/>
      <w:lvlText w:val=""/>
      <w:lvlJc w:val="left"/>
      <w:pPr>
        <w:ind w:left="720" w:hanging="360"/>
      </w:pPr>
      <w:rPr>
        <w:rFonts w:ascii="Wingdings" w:eastAsia="MS Mincho"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4251B2B"/>
    <w:multiLevelType w:val="hybridMultilevel"/>
    <w:tmpl w:val="76E2557A"/>
    <w:lvl w:ilvl="0" w:tplc="08CCBC1E">
      <w:start w:val="2020"/>
      <w:numFmt w:val="bullet"/>
      <w:lvlText w:val=""/>
      <w:lvlJc w:val="left"/>
      <w:pPr>
        <w:ind w:left="720" w:hanging="360"/>
      </w:pPr>
      <w:rPr>
        <w:rFonts w:ascii="Wingdings" w:eastAsiaTheme="minorHAnsi" w:hAnsi="Wingdings"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CA414C9"/>
    <w:multiLevelType w:val="hybridMultilevel"/>
    <w:tmpl w:val="D16CAB72"/>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E9478E3"/>
    <w:multiLevelType w:val="hybridMultilevel"/>
    <w:tmpl w:val="ECC62EE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11F094D"/>
    <w:multiLevelType w:val="hybridMultilevel"/>
    <w:tmpl w:val="2438FF5C"/>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2353058"/>
    <w:multiLevelType w:val="hybridMultilevel"/>
    <w:tmpl w:val="6D0E0A9E"/>
    <w:lvl w:ilvl="0" w:tplc="715C5230">
      <w:start w:val="12"/>
      <w:numFmt w:val="bullet"/>
      <w:lvlText w:val=""/>
      <w:lvlJc w:val="left"/>
      <w:pPr>
        <w:ind w:left="720" w:hanging="360"/>
      </w:pPr>
      <w:rPr>
        <w:rFonts w:ascii="Wingdings" w:eastAsiaTheme="minorEastAsia" w:hAnsi="Wingdings"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3AE295E"/>
    <w:multiLevelType w:val="hybridMultilevel"/>
    <w:tmpl w:val="6EC01D9C"/>
    <w:lvl w:ilvl="0" w:tplc="FE76A506">
      <w:start w:val="1"/>
      <w:numFmt w:val="lowerRoman"/>
      <w:lvlText w:val="%1."/>
      <w:lvlJc w:val="left"/>
      <w:pPr>
        <w:ind w:left="862"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41F0C6F"/>
    <w:multiLevelType w:val="hybridMultilevel"/>
    <w:tmpl w:val="5AA4A368"/>
    <w:lvl w:ilvl="0" w:tplc="040C0005">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42" w15:restartNumberingAfterBreak="0">
    <w:nsid w:val="783D0C97"/>
    <w:multiLevelType w:val="hybridMultilevel"/>
    <w:tmpl w:val="7C4ABC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CCF6FBD"/>
    <w:multiLevelType w:val="hybridMultilevel"/>
    <w:tmpl w:val="D7A20D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D1429B0"/>
    <w:multiLevelType w:val="hybridMultilevel"/>
    <w:tmpl w:val="CA86EA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E09740F"/>
    <w:multiLevelType w:val="hybridMultilevel"/>
    <w:tmpl w:val="0D4ED136"/>
    <w:lvl w:ilvl="0" w:tplc="53F075D6">
      <w:start w:val="1"/>
      <w:numFmt w:val="bullet"/>
      <w:lvlText w:val="-"/>
      <w:lvlJc w:val="left"/>
      <w:pPr>
        <w:ind w:left="1068" w:hanging="360"/>
      </w:pPr>
      <w:rPr>
        <w:rFonts w:ascii="Segoe UI" w:eastAsiaTheme="minorHAnsi" w:hAnsi="Segoe UI" w:cs="Segoe U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6" w15:restartNumberingAfterBreak="0">
    <w:nsid w:val="7E1B2433"/>
    <w:multiLevelType w:val="hybridMultilevel"/>
    <w:tmpl w:val="E0E2DD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1"/>
  </w:num>
  <w:num w:numId="2">
    <w:abstractNumId w:val="9"/>
  </w:num>
  <w:num w:numId="3">
    <w:abstractNumId w:val="5"/>
  </w:num>
  <w:num w:numId="4">
    <w:abstractNumId w:val="36"/>
  </w:num>
  <w:num w:numId="5">
    <w:abstractNumId w:val="38"/>
  </w:num>
  <w:num w:numId="6">
    <w:abstractNumId w:val="45"/>
  </w:num>
  <w:num w:numId="7">
    <w:abstractNumId w:val="3"/>
  </w:num>
  <w:num w:numId="8">
    <w:abstractNumId w:val="0"/>
  </w:num>
  <w:num w:numId="9">
    <w:abstractNumId w:val="35"/>
  </w:num>
  <w:num w:numId="10">
    <w:abstractNumId w:val="6"/>
  </w:num>
  <w:num w:numId="11">
    <w:abstractNumId w:val="8"/>
  </w:num>
  <w:num w:numId="12">
    <w:abstractNumId w:val="26"/>
  </w:num>
  <w:num w:numId="13">
    <w:abstractNumId w:val="39"/>
  </w:num>
  <w:num w:numId="14">
    <w:abstractNumId w:val="44"/>
  </w:num>
  <w:num w:numId="15">
    <w:abstractNumId w:val="25"/>
  </w:num>
  <w:num w:numId="16">
    <w:abstractNumId w:val="20"/>
  </w:num>
  <w:num w:numId="17">
    <w:abstractNumId w:val="46"/>
  </w:num>
  <w:num w:numId="18">
    <w:abstractNumId w:val="21"/>
  </w:num>
  <w:num w:numId="19">
    <w:abstractNumId w:val="30"/>
  </w:num>
  <w:num w:numId="20">
    <w:abstractNumId w:val="43"/>
  </w:num>
  <w:num w:numId="21">
    <w:abstractNumId w:val="32"/>
  </w:num>
  <w:num w:numId="22">
    <w:abstractNumId w:val="19"/>
  </w:num>
  <w:num w:numId="23">
    <w:abstractNumId w:val="29"/>
  </w:num>
  <w:num w:numId="24">
    <w:abstractNumId w:val="37"/>
  </w:num>
  <w:num w:numId="25">
    <w:abstractNumId w:val="41"/>
  </w:num>
  <w:num w:numId="26">
    <w:abstractNumId w:val="13"/>
  </w:num>
  <w:num w:numId="27">
    <w:abstractNumId w:val="17"/>
  </w:num>
  <w:num w:numId="28">
    <w:abstractNumId w:val="10"/>
  </w:num>
  <w:num w:numId="29">
    <w:abstractNumId w:val="14"/>
  </w:num>
  <w:num w:numId="30">
    <w:abstractNumId w:val="4"/>
  </w:num>
  <w:num w:numId="31">
    <w:abstractNumId w:val="40"/>
  </w:num>
  <w:num w:numId="32">
    <w:abstractNumId w:val="42"/>
  </w:num>
  <w:num w:numId="33">
    <w:abstractNumId w:val="15"/>
  </w:num>
  <w:num w:numId="34">
    <w:abstractNumId w:val="11"/>
  </w:num>
  <w:num w:numId="35">
    <w:abstractNumId w:val="7"/>
  </w:num>
  <w:num w:numId="36">
    <w:abstractNumId w:val="33"/>
  </w:num>
  <w:num w:numId="37">
    <w:abstractNumId w:val="2"/>
  </w:num>
  <w:num w:numId="38">
    <w:abstractNumId w:val="28"/>
  </w:num>
  <w:num w:numId="39">
    <w:abstractNumId w:val="27"/>
  </w:num>
  <w:num w:numId="40">
    <w:abstractNumId w:val="18"/>
  </w:num>
  <w:num w:numId="41">
    <w:abstractNumId w:val="12"/>
  </w:num>
  <w:num w:numId="42">
    <w:abstractNumId w:val="1"/>
  </w:num>
  <w:num w:numId="43">
    <w:abstractNumId w:val="23"/>
  </w:num>
  <w:num w:numId="44">
    <w:abstractNumId w:val="16"/>
  </w:num>
  <w:num w:numId="45">
    <w:abstractNumId w:val="24"/>
  </w:num>
  <w:num w:numId="46">
    <w:abstractNumId w:val="34"/>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19D"/>
    <w:rsid w:val="0000001A"/>
    <w:rsid w:val="000017C8"/>
    <w:rsid w:val="0000445B"/>
    <w:rsid w:val="00005A79"/>
    <w:rsid w:val="00010751"/>
    <w:rsid w:val="0001268C"/>
    <w:rsid w:val="0001322E"/>
    <w:rsid w:val="0001428C"/>
    <w:rsid w:val="00015498"/>
    <w:rsid w:val="00015B0E"/>
    <w:rsid w:val="00016714"/>
    <w:rsid w:val="00016CB4"/>
    <w:rsid w:val="00021742"/>
    <w:rsid w:val="0002183F"/>
    <w:rsid w:val="00021D37"/>
    <w:rsid w:val="00022604"/>
    <w:rsid w:val="00022919"/>
    <w:rsid w:val="00023E7E"/>
    <w:rsid w:val="00023FF5"/>
    <w:rsid w:val="000259D2"/>
    <w:rsid w:val="00025CCA"/>
    <w:rsid w:val="00026EAA"/>
    <w:rsid w:val="00027A94"/>
    <w:rsid w:val="00030987"/>
    <w:rsid w:val="00030B26"/>
    <w:rsid w:val="000316ED"/>
    <w:rsid w:val="000324F0"/>
    <w:rsid w:val="000336E2"/>
    <w:rsid w:val="000370B8"/>
    <w:rsid w:val="000401F8"/>
    <w:rsid w:val="00040434"/>
    <w:rsid w:val="00040A06"/>
    <w:rsid w:val="00041C39"/>
    <w:rsid w:val="0004299E"/>
    <w:rsid w:val="00042CC8"/>
    <w:rsid w:val="000432F0"/>
    <w:rsid w:val="00043CD1"/>
    <w:rsid w:val="00045B04"/>
    <w:rsid w:val="0005174E"/>
    <w:rsid w:val="0005193E"/>
    <w:rsid w:val="00056E48"/>
    <w:rsid w:val="000645FC"/>
    <w:rsid w:val="000647A9"/>
    <w:rsid w:val="0006598B"/>
    <w:rsid w:val="00066109"/>
    <w:rsid w:val="00066412"/>
    <w:rsid w:val="00066991"/>
    <w:rsid w:val="00066C53"/>
    <w:rsid w:val="00066E2E"/>
    <w:rsid w:val="0007038D"/>
    <w:rsid w:val="00070D4C"/>
    <w:rsid w:val="000720B6"/>
    <w:rsid w:val="0007410E"/>
    <w:rsid w:val="00074E98"/>
    <w:rsid w:val="00075D32"/>
    <w:rsid w:val="00077801"/>
    <w:rsid w:val="000833C3"/>
    <w:rsid w:val="0008384A"/>
    <w:rsid w:val="000843D8"/>
    <w:rsid w:val="00085934"/>
    <w:rsid w:val="00086C04"/>
    <w:rsid w:val="0008731F"/>
    <w:rsid w:val="00091913"/>
    <w:rsid w:val="0009450A"/>
    <w:rsid w:val="000953D2"/>
    <w:rsid w:val="000959E4"/>
    <w:rsid w:val="0009795A"/>
    <w:rsid w:val="000A0A0A"/>
    <w:rsid w:val="000A0DD6"/>
    <w:rsid w:val="000A712C"/>
    <w:rsid w:val="000B0965"/>
    <w:rsid w:val="000B2858"/>
    <w:rsid w:val="000B34F1"/>
    <w:rsid w:val="000B4F34"/>
    <w:rsid w:val="000B645F"/>
    <w:rsid w:val="000B77B5"/>
    <w:rsid w:val="000B7CBD"/>
    <w:rsid w:val="000C2132"/>
    <w:rsid w:val="000C2FEF"/>
    <w:rsid w:val="000C40A1"/>
    <w:rsid w:val="000C4414"/>
    <w:rsid w:val="000C6CEA"/>
    <w:rsid w:val="000C6FD9"/>
    <w:rsid w:val="000C78E6"/>
    <w:rsid w:val="000D1560"/>
    <w:rsid w:val="000D199F"/>
    <w:rsid w:val="000D1EC8"/>
    <w:rsid w:val="000D21CD"/>
    <w:rsid w:val="000D35A8"/>
    <w:rsid w:val="000D52F8"/>
    <w:rsid w:val="000D6352"/>
    <w:rsid w:val="000D6C98"/>
    <w:rsid w:val="000E14D8"/>
    <w:rsid w:val="000E162E"/>
    <w:rsid w:val="000E16BC"/>
    <w:rsid w:val="000E1C4C"/>
    <w:rsid w:val="000E2D63"/>
    <w:rsid w:val="000E3209"/>
    <w:rsid w:val="000E60E2"/>
    <w:rsid w:val="000F0870"/>
    <w:rsid w:val="000F18C2"/>
    <w:rsid w:val="000F21CB"/>
    <w:rsid w:val="000F26B1"/>
    <w:rsid w:val="000F2A06"/>
    <w:rsid w:val="000F2A72"/>
    <w:rsid w:val="000F347E"/>
    <w:rsid w:val="000F6EEB"/>
    <w:rsid w:val="000F706C"/>
    <w:rsid w:val="000F7BAB"/>
    <w:rsid w:val="0010153F"/>
    <w:rsid w:val="00101FA4"/>
    <w:rsid w:val="00102552"/>
    <w:rsid w:val="00102A60"/>
    <w:rsid w:val="0010430C"/>
    <w:rsid w:val="00104552"/>
    <w:rsid w:val="0010477B"/>
    <w:rsid w:val="0011107C"/>
    <w:rsid w:val="00111CEB"/>
    <w:rsid w:val="00111D4A"/>
    <w:rsid w:val="00111DB2"/>
    <w:rsid w:val="00113E08"/>
    <w:rsid w:val="0011593E"/>
    <w:rsid w:val="001175D5"/>
    <w:rsid w:val="00117A14"/>
    <w:rsid w:val="00117F5B"/>
    <w:rsid w:val="001209E9"/>
    <w:rsid w:val="001213B3"/>
    <w:rsid w:val="00121669"/>
    <w:rsid w:val="001218AC"/>
    <w:rsid w:val="00121A19"/>
    <w:rsid w:val="00122715"/>
    <w:rsid w:val="00125151"/>
    <w:rsid w:val="00125D63"/>
    <w:rsid w:val="0012744F"/>
    <w:rsid w:val="00131999"/>
    <w:rsid w:val="00132C57"/>
    <w:rsid w:val="001331FE"/>
    <w:rsid w:val="00134F2F"/>
    <w:rsid w:val="0013616E"/>
    <w:rsid w:val="00140025"/>
    <w:rsid w:val="00142A22"/>
    <w:rsid w:val="0014425D"/>
    <w:rsid w:val="00144558"/>
    <w:rsid w:val="0014547B"/>
    <w:rsid w:val="0015201A"/>
    <w:rsid w:val="00152DB6"/>
    <w:rsid w:val="001534BA"/>
    <w:rsid w:val="001534D3"/>
    <w:rsid w:val="00154954"/>
    <w:rsid w:val="00154DC1"/>
    <w:rsid w:val="001550B1"/>
    <w:rsid w:val="001559D6"/>
    <w:rsid w:val="00157DF7"/>
    <w:rsid w:val="00157ECA"/>
    <w:rsid w:val="00157FB4"/>
    <w:rsid w:val="00161B29"/>
    <w:rsid w:val="001633E9"/>
    <w:rsid w:val="001636E8"/>
    <w:rsid w:val="001654C8"/>
    <w:rsid w:val="00165E5A"/>
    <w:rsid w:val="001666C2"/>
    <w:rsid w:val="00170197"/>
    <w:rsid w:val="00170F1A"/>
    <w:rsid w:val="00171334"/>
    <w:rsid w:val="00171CEB"/>
    <w:rsid w:val="00172E10"/>
    <w:rsid w:val="0017487A"/>
    <w:rsid w:val="001751C2"/>
    <w:rsid w:val="001754EA"/>
    <w:rsid w:val="001800BE"/>
    <w:rsid w:val="00180A1F"/>
    <w:rsid w:val="00181264"/>
    <w:rsid w:val="00184C44"/>
    <w:rsid w:val="0018576F"/>
    <w:rsid w:val="0018627C"/>
    <w:rsid w:val="0018723A"/>
    <w:rsid w:val="0019014D"/>
    <w:rsid w:val="00191147"/>
    <w:rsid w:val="001924B2"/>
    <w:rsid w:val="001946FE"/>
    <w:rsid w:val="00194C54"/>
    <w:rsid w:val="00196B5E"/>
    <w:rsid w:val="00196B71"/>
    <w:rsid w:val="00197D26"/>
    <w:rsid w:val="001A002E"/>
    <w:rsid w:val="001A062B"/>
    <w:rsid w:val="001A1CAC"/>
    <w:rsid w:val="001A2147"/>
    <w:rsid w:val="001A241A"/>
    <w:rsid w:val="001A2648"/>
    <w:rsid w:val="001A3CC3"/>
    <w:rsid w:val="001A4F1D"/>
    <w:rsid w:val="001A5139"/>
    <w:rsid w:val="001A53E7"/>
    <w:rsid w:val="001B0F06"/>
    <w:rsid w:val="001B18C8"/>
    <w:rsid w:val="001B244B"/>
    <w:rsid w:val="001B2478"/>
    <w:rsid w:val="001B29BE"/>
    <w:rsid w:val="001B5220"/>
    <w:rsid w:val="001C2BF3"/>
    <w:rsid w:val="001C5D46"/>
    <w:rsid w:val="001C635E"/>
    <w:rsid w:val="001C76F2"/>
    <w:rsid w:val="001C7BA8"/>
    <w:rsid w:val="001D2395"/>
    <w:rsid w:val="001D2925"/>
    <w:rsid w:val="001D3A65"/>
    <w:rsid w:val="001D4242"/>
    <w:rsid w:val="001D42E9"/>
    <w:rsid w:val="001D625A"/>
    <w:rsid w:val="001D6B59"/>
    <w:rsid w:val="001D7A41"/>
    <w:rsid w:val="001E0105"/>
    <w:rsid w:val="001E03F0"/>
    <w:rsid w:val="001E117B"/>
    <w:rsid w:val="001E1418"/>
    <w:rsid w:val="001E1D1E"/>
    <w:rsid w:val="001E2A2F"/>
    <w:rsid w:val="001E2C65"/>
    <w:rsid w:val="001E3A24"/>
    <w:rsid w:val="001E3E1A"/>
    <w:rsid w:val="001F087F"/>
    <w:rsid w:val="001F1C94"/>
    <w:rsid w:val="001F2BDC"/>
    <w:rsid w:val="001F2E66"/>
    <w:rsid w:val="001F3885"/>
    <w:rsid w:val="001F6514"/>
    <w:rsid w:val="0020295C"/>
    <w:rsid w:val="00202B0C"/>
    <w:rsid w:val="00204037"/>
    <w:rsid w:val="00204ED7"/>
    <w:rsid w:val="00204F84"/>
    <w:rsid w:val="00206C63"/>
    <w:rsid w:val="00206F81"/>
    <w:rsid w:val="00207255"/>
    <w:rsid w:val="0020739C"/>
    <w:rsid w:val="00207574"/>
    <w:rsid w:val="00207899"/>
    <w:rsid w:val="00207E30"/>
    <w:rsid w:val="00210C9C"/>
    <w:rsid w:val="002114A9"/>
    <w:rsid w:val="0021364A"/>
    <w:rsid w:val="0021398E"/>
    <w:rsid w:val="0021441E"/>
    <w:rsid w:val="002162C9"/>
    <w:rsid w:val="002170DA"/>
    <w:rsid w:val="00217206"/>
    <w:rsid w:val="002175BA"/>
    <w:rsid w:val="00220494"/>
    <w:rsid w:val="002243D5"/>
    <w:rsid w:val="00225046"/>
    <w:rsid w:val="0022586B"/>
    <w:rsid w:val="0022691C"/>
    <w:rsid w:val="00227231"/>
    <w:rsid w:val="00227645"/>
    <w:rsid w:val="002331FC"/>
    <w:rsid w:val="0023438A"/>
    <w:rsid w:val="00234455"/>
    <w:rsid w:val="00234B72"/>
    <w:rsid w:val="00234FC7"/>
    <w:rsid w:val="00236A6E"/>
    <w:rsid w:val="00236ED8"/>
    <w:rsid w:val="00236F0F"/>
    <w:rsid w:val="0024104B"/>
    <w:rsid w:val="0024163B"/>
    <w:rsid w:val="00241C47"/>
    <w:rsid w:val="002425E7"/>
    <w:rsid w:val="0024267E"/>
    <w:rsid w:val="0024364F"/>
    <w:rsid w:val="0024707A"/>
    <w:rsid w:val="00247355"/>
    <w:rsid w:val="00250809"/>
    <w:rsid w:val="002525E0"/>
    <w:rsid w:val="00252886"/>
    <w:rsid w:val="00252C4B"/>
    <w:rsid w:val="00253E38"/>
    <w:rsid w:val="00254424"/>
    <w:rsid w:val="002549BD"/>
    <w:rsid w:val="00255A9F"/>
    <w:rsid w:val="00256566"/>
    <w:rsid w:val="00256BE9"/>
    <w:rsid w:val="00257F40"/>
    <w:rsid w:val="0026020C"/>
    <w:rsid w:val="002608EF"/>
    <w:rsid w:val="00260FFE"/>
    <w:rsid w:val="002612DF"/>
    <w:rsid w:val="0026212F"/>
    <w:rsid w:val="002624C2"/>
    <w:rsid w:val="00264A01"/>
    <w:rsid w:val="00264CE7"/>
    <w:rsid w:val="0026558E"/>
    <w:rsid w:val="002659B9"/>
    <w:rsid w:val="0026773A"/>
    <w:rsid w:val="00271E93"/>
    <w:rsid w:val="0027239F"/>
    <w:rsid w:val="00273398"/>
    <w:rsid w:val="00274213"/>
    <w:rsid w:val="00276E7C"/>
    <w:rsid w:val="00284E1E"/>
    <w:rsid w:val="002857B3"/>
    <w:rsid w:val="002858FA"/>
    <w:rsid w:val="00285C2A"/>
    <w:rsid w:val="002875EF"/>
    <w:rsid w:val="00292965"/>
    <w:rsid w:val="002958B0"/>
    <w:rsid w:val="002962D2"/>
    <w:rsid w:val="0029697B"/>
    <w:rsid w:val="002A0F63"/>
    <w:rsid w:val="002B130F"/>
    <w:rsid w:val="002B152B"/>
    <w:rsid w:val="002B1A93"/>
    <w:rsid w:val="002B3226"/>
    <w:rsid w:val="002B435A"/>
    <w:rsid w:val="002B4F69"/>
    <w:rsid w:val="002B65E0"/>
    <w:rsid w:val="002B6E20"/>
    <w:rsid w:val="002C3F39"/>
    <w:rsid w:val="002C6F94"/>
    <w:rsid w:val="002C7164"/>
    <w:rsid w:val="002C766C"/>
    <w:rsid w:val="002D06C5"/>
    <w:rsid w:val="002D2007"/>
    <w:rsid w:val="002D290A"/>
    <w:rsid w:val="002D4059"/>
    <w:rsid w:val="002D4648"/>
    <w:rsid w:val="002D4FAF"/>
    <w:rsid w:val="002D626C"/>
    <w:rsid w:val="002D6A5A"/>
    <w:rsid w:val="002D7559"/>
    <w:rsid w:val="002E60DA"/>
    <w:rsid w:val="002E6FD6"/>
    <w:rsid w:val="002E725B"/>
    <w:rsid w:val="002E736E"/>
    <w:rsid w:val="002F09EA"/>
    <w:rsid w:val="002F2A21"/>
    <w:rsid w:val="002F2AD7"/>
    <w:rsid w:val="002F390B"/>
    <w:rsid w:val="002F3DC8"/>
    <w:rsid w:val="002F43CC"/>
    <w:rsid w:val="002F683C"/>
    <w:rsid w:val="002F69BB"/>
    <w:rsid w:val="002F72CB"/>
    <w:rsid w:val="002F72EE"/>
    <w:rsid w:val="00300874"/>
    <w:rsid w:val="00300B60"/>
    <w:rsid w:val="00301579"/>
    <w:rsid w:val="00303046"/>
    <w:rsid w:val="00303585"/>
    <w:rsid w:val="00306841"/>
    <w:rsid w:val="003078A8"/>
    <w:rsid w:val="00310423"/>
    <w:rsid w:val="00311DEC"/>
    <w:rsid w:val="0031278D"/>
    <w:rsid w:val="00313101"/>
    <w:rsid w:val="00313F53"/>
    <w:rsid w:val="00313FF4"/>
    <w:rsid w:val="00316420"/>
    <w:rsid w:val="00317BA7"/>
    <w:rsid w:val="003228B1"/>
    <w:rsid w:val="00323E61"/>
    <w:rsid w:val="00330125"/>
    <w:rsid w:val="00334219"/>
    <w:rsid w:val="003344AB"/>
    <w:rsid w:val="003344DC"/>
    <w:rsid w:val="003347B8"/>
    <w:rsid w:val="00334EEE"/>
    <w:rsid w:val="0033619E"/>
    <w:rsid w:val="00337AE0"/>
    <w:rsid w:val="00340B2B"/>
    <w:rsid w:val="0034358F"/>
    <w:rsid w:val="003438D0"/>
    <w:rsid w:val="003445D5"/>
    <w:rsid w:val="003446A1"/>
    <w:rsid w:val="00346EF6"/>
    <w:rsid w:val="00350166"/>
    <w:rsid w:val="00350F1E"/>
    <w:rsid w:val="0035225C"/>
    <w:rsid w:val="0035235B"/>
    <w:rsid w:val="00353655"/>
    <w:rsid w:val="00353792"/>
    <w:rsid w:val="003568A0"/>
    <w:rsid w:val="00357529"/>
    <w:rsid w:val="00357865"/>
    <w:rsid w:val="003579F7"/>
    <w:rsid w:val="00357C1B"/>
    <w:rsid w:val="0036046E"/>
    <w:rsid w:val="0036094B"/>
    <w:rsid w:val="00360A0C"/>
    <w:rsid w:val="003619FC"/>
    <w:rsid w:val="003667F0"/>
    <w:rsid w:val="003674E5"/>
    <w:rsid w:val="00367E9A"/>
    <w:rsid w:val="00371140"/>
    <w:rsid w:val="00371684"/>
    <w:rsid w:val="0037247F"/>
    <w:rsid w:val="00373A6D"/>
    <w:rsid w:val="00375031"/>
    <w:rsid w:val="0037601D"/>
    <w:rsid w:val="003815F5"/>
    <w:rsid w:val="00382366"/>
    <w:rsid w:val="0038319D"/>
    <w:rsid w:val="003832F9"/>
    <w:rsid w:val="00383387"/>
    <w:rsid w:val="003837DA"/>
    <w:rsid w:val="00384B84"/>
    <w:rsid w:val="0038522B"/>
    <w:rsid w:val="00385598"/>
    <w:rsid w:val="003873DD"/>
    <w:rsid w:val="003904EB"/>
    <w:rsid w:val="003908F5"/>
    <w:rsid w:val="00392683"/>
    <w:rsid w:val="00393489"/>
    <w:rsid w:val="00394FBF"/>
    <w:rsid w:val="003A07DE"/>
    <w:rsid w:val="003A2C30"/>
    <w:rsid w:val="003A2C67"/>
    <w:rsid w:val="003A46AE"/>
    <w:rsid w:val="003A4FBD"/>
    <w:rsid w:val="003A7BF8"/>
    <w:rsid w:val="003B137D"/>
    <w:rsid w:val="003B5B77"/>
    <w:rsid w:val="003B5E87"/>
    <w:rsid w:val="003B61D8"/>
    <w:rsid w:val="003C036E"/>
    <w:rsid w:val="003C110F"/>
    <w:rsid w:val="003C18F4"/>
    <w:rsid w:val="003C5B7F"/>
    <w:rsid w:val="003C73CA"/>
    <w:rsid w:val="003C75C7"/>
    <w:rsid w:val="003D0F5A"/>
    <w:rsid w:val="003D30A8"/>
    <w:rsid w:val="003D4200"/>
    <w:rsid w:val="003D469A"/>
    <w:rsid w:val="003D4E32"/>
    <w:rsid w:val="003D55FE"/>
    <w:rsid w:val="003D63AA"/>
    <w:rsid w:val="003D6BE2"/>
    <w:rsid w:val="003E1396"/>
    <w:rsid w:val="003E32A8"/>
    <w:rsid w:val="003E45DA"/>
    <w:rsid w:val="003E4B9E"/>
    <w:rsid w:val="003E75BD"/>
    <w:rsid w:val="003F2B10"/>
    <w:rsid w:val="003F466F"/>
    <w:rsid w:val="003F620F"/>
    <w:rsid w:val="003F771E"/>
    <w:rsid w:val="004029D5"/>
    <w:rsid w:val="00404AF8"/>
    <w:rsid w:val="00404C0F"/>
    <w:rsid w:val="00406932"/>
    <w:rsid w:val="00406C6E"/>
    <w:rsid w:val="00406F0E"/>
    <w:rsid w:val="00406F7D"/>
    <w:rsid w:val="004072A5"/>
    <w:rsid w:val="00412A4C"/>
    <w:rsid w:val="00413792"/>
    <w:rsid w:val="00413A61"/>
    <w:rsid w:val="00413BE4"/>
    <w:rsid w:val="00414766"/>
    <w:rsid w:val="004148EA"/>
    <w:rsid w:val="00417275"/>
    <w:rsid w:val="0041779B"/>
    <w:rsid w:val="0042087C"/>
    <w:rsid w:val="004216EC"/>
    <w:rsid w:val="00421DEC"/>
    <w:rsid w:val="004225A8"/>
    <w:rsid w:val="00423C19"/>
    <w:rsid w:val="00424E97"/>
    <w:rsid w:val="00425609"/>
    <w:rsid w:val="00426809"/>
    <w:rsid w:val="00426CBD"/>
    <w:rsid w:val="00426CF3"/>
    <w:rsid w:val="00431DB8"/>
    <w:rsid w:val="004328C0"/>
    <w:rsid w:val="004328E0"/>
    <w:rsid w:val="00435490"/>
    <w:rsid w:val="0043577E"/>
    <w:rsid w:val="00435BE8"/>
    <w:rsid w:val="004408A0"/>
    <w:rsid w:val="00442D51"/>
    <w:rsid w:val="00443AC9"/>
    <w:rsid w:val="00444710"/>
    <w:rsid w:val="00444CCF"/>
    <w:rsid w:val="004466ED"/>
    <w:rsid w:val="004505FB"/>
    <w:rsid w:val="0045126A"/>
    <w:rsid w:val="00451846"/>
    <w:rsid w:val="00451B30"/>
    <w:rsid w:val="00453A82"/>
    <w:rsid w:val="0045540A"/>
    <w:rsid w:val="00456C51"/>
    <w:rsid w:val="00457F45"/>
    <w:rsid w:val="004631AA"/>
    <w:rsid w:val="00463801"/>
    <w:rsid w:val="004660C0"/>
    <w:rsid w:val="00471933"/>
    <w:rsid w:val="00471EBE"/>
    <w:rsid w:val="00472113"/>
    <w:rsid w:val="00472136"/>
    <w:rsid w:val="0047248E"/>
    <w:rsid w:val="004732BB"/>
    <w:rsid w:val="0047340D"/>
    <w:rsid w:val="004736D1"/>
    <w:rsid w:val="00473BCE"/>
    <w:rsid w:val="004766D7"/>
    <w:rsid w:val="00480779"/>
    <w:rsid w:val="004814D2"/>
    <w:rsid w:val="00481501"/>
    <w:rsid w:val="0048182C"/>
    <w:rsid w:val="00483091"/>
    <w:rsid w:val="00483582"/>
    <w:rsid w:val="00483A69"/>
    <w:rsid w:val="00483AF6"/>
    <w:rsid w:val="00485588"/>
    <w:rsid w:val="00485BB0"/>
    <w:rsid w:val="00487CE0"/>
    <w:rsid w:val="0049047F"/>
    <w:rsid w:val="00491D2F"/>
    <w:rsid w:val="00492016"/>
    <w:rsid w:val="0049203C"/>
    <w:rsid w:val="00492455"/>
    <w:rsid w:val="00492E3A"/>
    <w:rsid w:val="0049303B"/>
    <w:rsid w:val="00495A54"/>
    <w:rsid w:val="004972F4"/>
    <w:rsid w:val="004A02A6"/>
    <w:rsid w:val="004A0925"/>
    <w:rsid w:val="004A1023"/>
    <w:rsid w:val="004A118A"/>
    <w:rsid w:val="004A1757"/>
    <w:rsid w:val="004A2CF8"/>
    <w:rsid w:val="004A39A2"/>
    <w:rsid w:val="004A5771"/>
    <w:rsid w:val="004A7B48"/>
    <w:rsid w:val="004A7CCE"/>
    <w:rsid w:val="004A7FF0"/>
    <w:rsid w:val="004B2714"/>
    <w:rsid w:val="004B2CD6"/>
    <w:rsid w:val="004B3BBC"/>
    <w:rsid w:val="004B463F"/>
    <w:rsid w:val="004B50F3"/>
    <w:rsid w:val="004B6548"/>
    <w:rsid w:val="004B7F8F"/>
    <w:rsid w:val="004C221F"/>
    <w:rsid w:val="004C22C7"/>
    <w:rsid w:val="004C2A10"/>
    <w:rsid w:val="004C3235"/>
    <w:rsid w:val="004C3C02"/>
    <w:rsid w:val="004C421B"/>
    <w:rsid w:val="004C5B79"/>
    <w:rsid w:val="004C7FF9"/>
    <w:rsid w:val="004D03D0"/>
    <w:rsid w:val="004D18A4"/>
    <w:rsid w:val="004D2579"/>
    <w:rsid w:val="004D31F2"/>
    <w:rsid w:val="004D34B2"/>
    <w:rsid w:val="004D4387"/>
    <w:rsid w:val="004D56A4"/>
    <w:rsid w:val="004D56B5"/>
    <w:rsid w:val="004D570B"/>
    <w:rsid w:val="004D58D4"/>
    <w:rsid w:val="004D774B"/>
    <w:rsid w:val="004D7A20"/>
    <w:rsid w:val="004E093C"/>
    <w:rsid w:val="004E1CD1"/>
    <w:rsid w:val="004E1D42"/>
    <w:rsid w:val="004E359E"/>
    <w:rsid w:val="004E3F2D"/>
    <w:rsid w:val="004E4628"/>
    <w:rsid w:val="004E4FA1"/>
    <w:rsid w:val="004E5041"/>
    <w:rsid w:val="004E509C"/>
    <w:rsid w:val="004E5514"/>
    <w:rsid w:val="004E6CC3"/>
    <w:rsid w:val="004E7373"/>
    <w:rsid w:val="004F0A26"/>
    <w:rsid w:val="004F1344"/>
    <w:rsid w:val="004F1D4E"/>
    <w:rsid w:val="004F48CA"/>
    <w:rsid w:val="004F4932"/>
    <w:rsid w:val="004F5600"/>
    <w:rsid w:val="004F63D4"/>
    <w:rsid w:val="004F6674"/>
    <w:rsid w:val="004F67E3"/>
    <w:rsid w:val="004F6978"/>
    <w:rsid w:val="005027BD"/>
    <w:rsid w:val="0050321C"/>
    <w:rsid w:val="00503A45"/>
    <w:rsid w:val="00504DFE"/>
    <w:rsid w:val="00504E29"/>
    <w:rsid w:val="00505C50"/>
    <w:rsid w:val="00506628"/>
    <w:rsid w:val="00506FFA"/>
    <w:rsid w:val="00507092"/>
    <w:rsid w:val="0050796D"/>
    <w:rsid w:val="00507986"/>
    <w:rsid w:val="00510899"/>
    <w:rsid w:val="005133E2"/>
    <w:rsid w:val="00513709"/>
    <w:rsid w:val="00514796"/>
    <w:rsid w:val="005154B3"/>
    <w:rsid w:val="005156AD"/>
    <w:rsid w:val="005157B5"/>
    <w:rsid w:val="00516F27"/>
    <w:rsid w:val="0052269C"/>
    <w:rsid w:val="00522811"/>
    <w:rsid w:val="005250DC"/>
    <w:rsid w:val="00526623"/>
    <w:rsid w:val="00526837"/>
    <w:rsid w:val="00526D9F"/>
    <w:rsid w:val="00526DF4"/>
    <w:rsid w:val="00531461"/>
    <w:rsid w:val="00532EC4"/>
    <w:rsid w:val="00534375"/>
    <w:rsid w:val="00535056"/>
    <w:rsid w:val="00535092"/>
    <w:rsid w:val="005354B7"/>
    <w:rsid w:val="00537390"/>
    <w:rsid w:val="005404A1"/>
    <w:rsid w:val="005404E1"/>
    <w:rsid w:val="00540E93"/>
    <w:rsid w:val="005416AA"/>
    <w:rsid w:val="00542557"/>
    <w:rsid w:val="00542E5C"/>
    <w:rsid w:val="00544369"/>
    <w:rsid w:val="00544829"/>
    <w:rsid w:val="0054511A"/>
    <w:rsid w:val="00546059"/>
    <w:rsid w:val="00547176"/>
    <w:rsid w:val="00553BB5"/>
    <w:rsid w:val="005542FB"/>
    <w:rsid w:val="005546FB"/>
    <w:rsid w:val="00555355"/>
    <w:rsid w:val="005560E3"/>
    <w:rsid w:val="00557225"/>
    <w:rsid w:val="00557326"/>
    <w:rsid w:val="00563A3D"/>
    <w:rsid w:val="00564654"/>
    <w:rsid w:val="005648BC"/>
    <w:rsid w:val="00564971"/>
    <w:rsid w:val="00564DC7"/>
    <w:rsid w:val="0057068B"/>
    <w:rsid w:val="00570F09"/>
    <w:rsid w:val="005736FA"/>
    <w:rsid w:val="00573FEE"/>
    <w:rsid w:val="005741D1"/>
    <w:rsid w:val="005753C8"/>
    <w:rsid w:val="00577E65"/>
    <w:rsid w:val="00580221"/>
    <w:rsid w:val="00581C64"/>
    <w:rsid w:val="0058282A"/>
    <w:rsid w:val="005854D3"/>
    <w:rsid w:val="00587253"/>
    <w:rsid w:val="00587698"/>
    <w:rsid w:val="00591454"/>
    <w:rsid w:val="00591907"/>
    <w:rsid w:val="00592524"/>
    <w:rsid w:val="00593225"/>
    <w:rsid w:val="005944DD"/>
    <w:rsid w:val="00594A3B"/>
    <w:rsid w:val="0059535D"/>
    <w:rsid w:val="00595CF2"/>
    <w:rsid w:val="00595E40"/>
    <w:rsid w:val="005964D0"/>
    <w:rsid w:val="00596F4D"/>
    <w:rsid w:val="005A0428"/>
    <w:rsid w:val="005A475A"/>
    <w:rsid w:val="005A69ED"/>
    <w:rsid w:val="005A77FB"/>
    <w:rsid w:val="005B00B6"/>
    <w:rsid w:val="005B4D69"/>
    <w:rsid w:val="005B6448"/>
    <w:rsid w:val="005C02E3"/>
    <w:rsid w:val="005C0345"/>
    <w:rsid w:val="005C0A72"/>
    <w:rsid w:val="005C2F01"/>
    <w:rsid w:val="005C353D"/>
    <w:rsid w:val="005C3816"/>
    <w:rsid w:val="005C4336"/>
    <w:rsid w:val="005C4B58"/>
    <w:rsid w:val="005C5A1C"/>
    <w:rsid w:val="005C6E70"/>
    <w:rsid w:val="005C7129"/>
    <w:rsid w:val="005D03C4"/>
    <w:rsid w:val="005D1433"/>
    <w:rsid w:val="005D1DCB"/>
    <w:rsid w:val="005D2213"/>
    <w:rsid w:val="005D2FF8"/>
    <w:rsid w:val="005D3096"/>
    <w:rsid w:val="005D7F03"/>
    <w:rsid w:val="005E13E0"/>
    <w:rsid w:val="005E500F"/>
    <w:rsid w:val="005E7F26"/>
    <w:rsid w:val="005F012A"/>
    <w:rsid w:val="005F07EE"/>
    <w:rsid w:val="005F0A3B"/>
    <w:rsid w:val="005F17F0"/>
    <w:rsid w:val="005F1B2F"/>
    <w:rsid w:val="005F3369"/>
    <w:rsid w:val="005F3EA9"/>
    <w:rsid w:val="005F4115"/>
    <w:rsid w:val="005F4DB8"/>
    <w:rsid w:val="005F501D"/>
    <w:rsid w:val="005F5FB5"/>
    <w:rsid w:val="005F66BF"/>
    <w:rsid w:val="005F6DE1"/>
    <w:rsid w:val="00601359"/>
    <w:rsid w:val="0060150A"/>
    <w:rsid w:val="00602095"/>
    <w:rsid w:val="00602208"/>
    <w:rsid w:val="00604703"/>
    <w:rsid w:val="0060511F"/>
    <w:rsid w:val="006065FE"/>
    <w:rsid w:val="00606C90"/>
    <w:rsid w:val="006074E2"/>
    <w:rsid w:val="00607818"/>
    <w:rsid w:val="00610173"/>
    <w:rsid w:val="00610289"/>
    <w:rsid w:val="0061047A"/>
    <w:rsid w:val="006128A9"/>
    <w:rsid w:val="00612A51"/>
    <w:rsid w:val="006138A6"/>
    <w:rsid w:val="00613D6A"/>
    <w:rsid w:val="00614415"/>
    <w:rsid w:val="006150A6"/>
    <w:rsid w:val="00615345"/>
    <w:rsid w:val="00620361"/>
    <w:rsid w:val="006217A7"/>
    <w:rsid w:val="00621A2E"/>
    <w:rsid w:val="00624A97"/>
    <w:rsid w:val="00624B8A"/>
    <w:rsid w:val="00624E6D"/>
    <w:rsid w:val="00624F3A"/>
    <w:rsid w:val="00626C8F"/>
    <w:rsid w:val="006324A3"/>
    <w:rsid w:val="00632C5C"/>
    <w:rsid w:val="00632E6C"/>
    <w:rsid w:val="00633018"/>
    <w:rsid w:val="00633626"/>
    <w:rsid w:val="006345DF"/>
    <w:rsid w:val="00636402"/>
    <w:rsid w:val="00640294"/>
    <w:rsid w:val="00642552"/>
    <w:rsid w:val="00642557"/>
    <w:rsid w:val="0064465F"/>
    <w:rsid w:val="00646CF3"/>
    <w:rsid w:val="0064706A"/>
    <w:rsid w:val="00647E2E"/>
    <w:rsid w:val="0065131B"/>
    <w:rsid w:val="00651ED2"/>
    <w:rsid w:val="00653C85"/>
    <w:rsid w:val="006541A9"/>
    <w:rsid w:val="00654302"/>
    <w:rsid w:val="00657B28"/>
    <w:rsid w:val="00657F22"/>
    <w:rsid w:val="006603A8"/>
    <w:rsid w:val="0066051E"/>
    <w:rsid w:val="00661681"/>
    <w:rsid w:val="006617D1"/>
    <w:rsid w:val="00661DCC"/>
    <w:rsid w:val="00664503"/>
    <w:rsid w:val="0067006F"/>
    <w:rsid w:val="00671339"/>
    <w:rsid w:val="00672685"/>
    <w:rsid w:val="00672DD1"/>
    <w:rsid w:val="006736A4"/>
    <w:rsid w:val="0067454B"/>
    <w:rsid w:val="0067633C"/>
    <w:rsid w:val="006764E0"/>
    <w:rsid w:val="006772DE"/>
    <w:rsid w:val="006802B5"/>
    <w:rsid w:val="0068071B"/>
    <w:rsid w:val="00680ED2"/>
    <w:rsid w:val="00683B7C"/>
    <w:rsid w:val="00683E89"/>
    <w:rsid w:val="0068526A"/>
    <w:rsid w:val="00687A9F"/>
    <w:rsid w:val="00690DEA"/>
    <w:rsid w:val="00692539"/>
    <w:rsid w:val="00692E13"/>
    <w:rsid w:val="006935CE"/>
    <w:rsid w:val="006940CD"/>
    <w:rsid w:val="00694FBB"/>
    <w:rsid w:val="006963E4"/>
    <w:rsid w:val="00696AD1"/>
    <w:rsid w:val="00697785"/>
    <w:rsid w:val="006A0D9E"/>
    <w:rsid w:val="006A17D7"/>
    <w:rsid w:val="006A182B"/>
    <w:rsid w:val="006A2690"/>
    <w:rsid w:val="006A4F24"/>
    <w:rsid w:val="006A6A03"/>
    <w:rsid w:val="006A77CA"/>
    <w:rsid w:val="006B20EC"/>
    <w:rsid w:val="006B4657"/>
    <w:rsid w:val="006B6B8D"/>
    <w:rsid w:val="006C02F3"/>
    <w:rsid w:val="006C3002"/>
    <w:rsid w:val="006C3183"/>
    <w:rsid w:val="006C3381"/>
    <w:rsid w:val="006C33E6"/>
    <w:rsid w:val="006C3405"/>
    <w:rsid w:val="006C349E"/>
    <w:rsid w:val="006C3540"/>
    <w:rsid w:val="006C3751"/>
    <w:rsid w:val="006C48FA"/>
    <w:rsid w:val="006D1307"/>
    <w:rsid w:val="006D13F4"/>
    <w:rsid w:val="006D3DEE"/>
    <w:rsid w:val="006D3F26"/>
    <w:rsid w:val="006D6146"/>
    <w:rsid w:val="006D64EC"/>
    <w:rsid w:val="006D7625"/>
    <w:rsid w:val="006E2053"/>
    <w:rsid w:val="006E3A6B"/>
    <w:rsid w:val="006E4AF6"/>
    <w:rsid w:val="006E543F"/>
    <w:rsid w:val="006E594E"/>
    <w:rsid w:val="006E788B"/>
    <w:rsid w:val="006F266C"/>
    <w:rsid w:val="006F5470"/>
    <w:rsid w:val="006F6EFC"/>
    <w:rsid w:val="006F764B"/>
    <w:rsid w:val="007005BF"/>
    <w:rsid w:val="00700B7A"/>
    <w:rsid w:val="00701D31"/>
    <w:rsid w:val="0070308A"/>
    <w:rsid w:val="0070426A"/>
    <w:rsid w:val="00705046"/>
    <w:rsid w:val="00705C66"/>
    <w:rsid w:val="00706BE9"/>
    <w:rsid w:val="00707DBE"/>
    <w:rsid w:val="0071113C"/>
    <w:rsid w:val="00711EF4"/>
    <w:rsid w:val="007153E1"/>
    <w:rsid w:val="007156EE"/>
    <w:rsid w:val="00715B80"/>
    <w:rsid w:val="00720662"/>
    <w:rsid w:val="00723B48"/>
    <w:rsid w:val="00726E66"/>
    <w:rsid w:val="0072726C"/>
    <w:rsid w:val="00730127"/>
    <w:rsid w:val="00731C4F"/>
    <w:rsid w:val="00732262"/>
    <w:rsid w:val="007327CC"/>
    <w:rsid w:val="00732A73"/>
    <w:rsid w:val="007337EC"/>
    <w:rsid w:val="0073448C"/>
    <w:rsid w:val="00734583"/>
    <w:rsid w:val="007358C0"/>
    <w:rsid w:val="007360C9"/>
    <w:rsid w:val="0073694C"/>
    <w:rsid w:val="00736D17"/>
    <w:rsid w:val="00740C8A"/>
    <w:rsid w:val="007462D3"/>
    <w:rsid w:val="007473F5"/>
    <w:rsid w:val="00747BB6"/>
    <w:rsid w:val="00750614"/>
    <w:rsid w:val="00750F68"/>
    <w:rsid w:val="00751422"/>
    <w:rsid w:val="007540D6"/>
    <w:rsid w:val="00755B4D"/>
    <w:rsid w:val="007561CC"/>
    <w:rsid w:val="007566F2"/>
    <w:rsid w:val="00760D83"/>
    <w:rsid w:val="0076112C"/>
    <w:rsid w:val="0076129B"/>
    <w:rsid w:val="00761551"/>
    <w:rsid w:val="0076175F"/>
    <w:rsid w:val="00763597"/>
    <w:rsid w:val="00764D75"/>
    <w:rsid w:val="0076601C"/>
    <w:rsid w:val="007671BE"/>
    <w:rsid w:val="007701EB"/>
    <w:rsid w:val="00770E48"/>
    <w:rsid w:val="00774C76"/>
    <w:rsid w:val="007753ED"/>
    <w:rsid w:val="00775671"/>
    <w:rsid w:val="00775B55"/>
    <w:rsid w:val="00775F5D"/>
    <w:rsid w:val="00777ECB"/>
    <w:rsid w:val="0078002A"/>
    <w:rsid w:val="007809EB"/>
    <w:rsid w:val="007816FF"/>
    <w:rsid w:val="00782262"/>
    <w:rsid w:val="007831C5"/>
    <w:rsid w:val="007857E3"/>
    <w:rsid w:val="0078622C"/>
    <w:rsid w:val="007907D0"/>
    <w:rsid w:val="00791A91"/>
    <w:rsid w:val="00791C21"/>
    <w:rsid w:val="00791E94"/>
    <w:rsid w:val="00792AD9"/>
    <w:rsid w:val="00792EA7"/>
    <w:rsid w:val="007944F7"/>
    <w:rsid w:val="00794560"/>
    <w:rsid w:val="00794BA6"/>
    <w:rsid w:val="00794C4E"/>
    <w:rsid w:val="007950E7"/>
    <w:rsid w:val="007960D5"/>
    <w:rsid w:val="007A1F7B"/>
    <w:rsid w:val="007A20FC"/>
    <w:rsid w:val="007A263B"/>
    <w:rsid w:val="007A4AE1"/>
    <w:rsid w:val="007A4C1E"/>
    <w:rsid w:val="007A4CF0"/>
    <w:rsid w:val="007A76FD"/>
    <w:rsid w:val="007A7CE0"/>
    <w:rsid w:val="007B079D"/>
    <w:rsid w:val="007B22E5"/>
    <w:rsid w:val="007B2E00"/>
    <w:rsid w:val="007B3EA6"/>
    <w:rsid w:val="007B3EFC"/>
    <w:rsid w:val="007B4A54"/>
    <w:rsid w:val="007B62C7"/>
    <w:rsid w:val="007C1FFD"/>
    <w:rsid w:val="007C24BB"/>
    <w:rsid w:val="007C429B"/>
    <w:rsid w:val="007C445E"/>
    <w:rsid w:val="007C4673"/>
    <w:rsid w:val="007C4772"/>
    <w:rsid w:val="007C4802"/>
    <w:rsid w:val="007C4829"/>
    <w:rsid w:val="007C5846"/>
    <w:rsid w:val="007C79B2"/>
    <w:rsid w:val="007D0428"/>
    <w:rsid w:val="007D38B9"/>
    <w:rsid w:val="007D4D79"/>
    <w:rsid w:val="007D4E19"/>
    <w:rsid w:val="007D5285"/>
    <w:rsid w:val="007D5ADA"/>
    <w:rsid w:val="007D66A5"/>
    <w:rsid w:val="007D6C35"/>
    <w:rsid w:val="007D6DA0"/>
    <w:rsid w:val="007E0DC7"/>
    <w:rsid w:val="007E12C7"/>
    <w:rsid w:val="007E1F1B"/>
    <w:rsid w:val="007E5704"/>
    <w:rsid w:val="007E6574"/>
    <w:rsid w:val="007E6675"/>
    <w:rsid w:val="007E68EB"/>
    <w:rsid w:val="007E6FFA"/>
    <w:rsid w:val="007F07C6"/>
    <w:rsid w:val="007F23AD"/>
    <w:rsid w:val="007F2B7B"/>
    <w:rsid w:val="007F330B"/>
    <w:rsid w:val="007F34AB"/>
    <w:rsid w:val="007F367E"/>
    <w:rsid w:val="007F3C4B"/>
    <w:rsid w:val="007F67BE"/>
    <w:rsid w:val="00803B1D"/>
    <w:rsid w:val="00803C91"/>
    <w:rsid w:val="00803FEA"/>
    <w:rsid w:val="008048C0"/>
    <w:rsid w:val="00806988"/>
    <w:rsid w:val="00807E72"/>
    <w:rsid w:val="0081323F"/>
    <w:rsid w:val="00813888"/>
    <w:rsid w:val="00813AA2"/>
    <w:rsid w:val="008143E1"/>
    <w:rsid w:val="008152E4"/>
    <w:rsid w:val="00816E9D"/>
    <w:rsid w:val="00817930"/>
    <w:rsid w:val="008206D2"/>
    <w:rsid w:val="008220F0"/>
    <w:rsid w:val="008229DB"/>
    <w:rsid w:val="008232C4"/>
    <w:rsid w:val="008235E8"/>
    <w:rsid w:val="00824E42"/>
    <w:rsid w:val="00825058"/>
    <w:rsid w:val="00825348"/>
    <w:rsid w:val="00826CD2"/>
    <w:rsid w:val="00827DB6"/>
    <w:rsid w:val="00830107"/>
    <w:rsid w:val="0083036A"/>
    <w:rsid w:val="008315C9"/>
    <w:rsid w:val="008318CD"/>
    <w:rsid w:val="00831C0B"/>
    <w:rsid w:val="00832764"/>
    <w:rsid w:val="00832BD5"/>
    <w:rsid w:val="00833B38"/>
    <w:rsid w:val="00833F38"/>
    <w:rsid w:val="008344CA"/>
    <w:rsid w:val="0083689D"/>
    <w:rsid w:val="00836DBC"/>
    <w:rsid w:val="00837080"/>
    <w:rsid w:val="0084239C"/>
    <w:rsid w:val="00844ECC"/>
    <w:rsid w:val="00844F84"/>
    <w:rsid w:val="00851949"/>
    <w:rsid w:val="00852945"/>
    <w:rsid w:val="008536A7"/>
    <w:rsid w:val="008552BA"/>
    <w:rsid w:val="008552F6"/>
    <w:rsid w:val="00856294"/>
    <w:rsid w:val="00857675"/>
    <w:rsid w:val="00861562"/>
    <w:rsid w:val="0086354F"/>
    <w:rsid w:val="00863974"/>
    <w:rsid w:val="00864414"/>
    <w:rsid w:val="00864718"/>
    <w:rsid w:val="0086513A"/>
    <w:rsid w:val="00866B16"/>
    <w:rsid w:val="00866BB7"/>
    <w:rsid w:val="00866DE9"/>
    <w:rsid w:val="00866FC7"/>
    <w:rsid w:val="00870810"/>
    <w:rsid w:val="008717A2"/>
    <w:rsid w:val="008720CA"/>
    <w:rsid w:val="00872250"/>
    <w:rsid w:val="00873036"/>
    <w:rsid w:val="00873F38"/>
    <w:rsid w:val="00874485"/>
    <w:rsid w:val="00874A25"/>
    <w:rsid w:val="00876629"/>
    <w:rsid w:val="00876EA3"/>
    <w:rsid w:val="008771F6"/>
    <w:rsid w:val="00882398"/>
    <w:rsid w:val="00882B0A"/>
    <w:rsid w:val="00884E62"/>
    <w:rsid w:val="00885337"/>
    <w:rsid w:val="00885708"/>
    <w:rsid w:val="0088676E"/>
    <w:rsid w:val="008875C6"/>
    <w:rsid w:val="00887E14"/>
    <w:rsid w:val="00890C04"/>
    <w:rsid w:val="00890DE6"/>
    <w:rsid w:val="0089149C"/>
    <w:rsid w:val="0089207C"/>
    <w:rsid w:val="0089263B"/>
    <w:rsid w:val="00892DE4"/>
    <w:rsid w:val="00894FF6"/>
    <w:rsid w:val="00897701"/>
    <w:rsid w:val="00897EC8"/>
    <w:rsid w:val="00897ED6"/>
    <w:rsid w:val="008A1007"/>
    <w:rsid w:val="008A2866"/>
    <w:rsid w:val="008A303F"/>
    <w:rsid w:val="008A314F"/>
    <w:rsid w:val="008A395E"/>
    <w:rsid w:val="008A4B30"/>
    <w:rsid w:val="008A5588"/>
    <w:rsid w:val="008A5EC2"/>
    <w:rsid w:val="008A5EFF"/>
    <w:rsid w:val="008A7BF6"/>
    <w:rsid w:val="008B1840"/>
    <w:rsid w:val="008B24A5"/>
    <w:rsid w:val="008B2AAA"/>
    <w:rsid w:val="008B3A37"/>
    <w:rsid w:val="008B3A47"/>
    <w:rsid w:val="008B3CA7"/>
    <w:rsid w:val="008B441D"/>
    <w:rsid w:val="008B6A81"/>
    <w:rsid w:val="008B6E0C"/>
    <w:rsid w:val="008C08D0"/>
    <w:rsid w:val="008C0D70"/>
    <w:rsid w:val="008C3826"/>
    <w:rsid w:val="008C3905"/>
    <w:rsid w:val="008C4B3D"/>
    <w:rsid w:val="008C71F5"/>
    <w:rsid w:val="008C79A1"/>
    <w:rsid w:val="008D0E5A"/>
    <w:rsid w:val="008D14E8"/>
    <w:rsid w:val="008D2613"/>
    <w:rsid w:val="008D69C8"/>
    <w:rsid w:val="008D758D"/>
    <w:rsid w:val="008E0E66"/>
    <w:rsid w:val="008E107E"/>
    <w:rsid w:val="008E3AB3"/>
    <w:rsid w:val="008E4680"/>
    <w:rsid w:val="008E5A59"/>
    <w:rsid w:val="008E61AC"/>
    <w:rsid w:val="008E6350"/>
    <w:rsid w:val="008E7571"/>
    <w:rsid w:val="008F042C"/>
    <w:rsid w:val="008F0B6D"/>
    <w:rsid w:val="008F256F"/>
    <w:rsid w:val="008F36FF"/>
    <w:rsid w:val="009000A4"/>
    <w:rsid w:val="0090323C"/>
    <w:rsid w:val="009046CD"/>
    <w:rsid w:val="00905315"/>
    <w:rsid w:val="009055D8"/>
    <w:rsid w:val="00905C74"/>
    <w:rsid w:val="009063CB"/>
    <w:rsid w:val="00906571"/>
    <w:rsid w:val="0090776D"/>
    <w:rsid w:val="00907B58"/>
    <w:rsid w:val="00910CC6"/>
    <w:rsid w:val="00911444"/>
    <w:rsid w:val="00914770"/>
    <w:rsid w:val="00915013"/>
    <w:rsid w:val="0091598D"/>
    <w:rsid w:val="00915C62"/>
    <w:rsid w:val="00916B9A"/>
    <w:rsid w:val="00921537"/>
    <w:rsid w:val="00923273"/>
    <w:rsid w:val="00923B09"/>
    <w:rsid w:val="009243EF"/>
    <w:rsid w:val="0093040F"/>
    <w:rsid w:val="00931DD3"/>
    <w:rsid w:val="0093242D"/>
    <w:rsid w:val="00932967"/>
    <w:rsid w:val="00932F3E"/>
    <w:rsid w:val="00935DCB"/>
    <w:rsid w:val="009366A2"/>
    <w:rsid w:val="0093763C"/>
    <w:rsid w:val="00937DCD"/>
    <w:rsid w:val="0094088B"/>
    <w:rsid w:val="00941B2D"/>
    <w:rsid w:val="00944C8F"/>
    <w:rsid w:val="00945BB6"/>
    <w:rsid w:val="00946C75"/>
    <w:rsid w:val="00947010"/>
    <w:rsid w:val="009478C6"/>
    <w:rsid w:val="00950575"/>
    <w:rsid w:val="00950655"/>
    <w:rsid w:val="00952A05"/>
    <w:rsid w:val="00952F00"/>
    <w:rsid w:val="00955564"/>
    <w:rsid w:val="00956624"/>
    <w:rsid w:val="00957692"/>
    <w:rsid w:val="009612EA"/>
    <w:rsid w:val="00962D2D"/>
    <w:rsid w:val="00963E11"/>
    <w:rsid w:val="00963F14"/>
    <w:rsid w:val="009641FE"/>
    <w:rsid w:val="009645CC"/>
    <w:rsid w:val="0096503F"/>
    <w:rsid w:val="00970621"/>
    <w:rsid w:val="00970731"/>
    <w:rsid w:val="00972430"/>
    <w:rsid w:val="009730E2"/>
    <w:rsid w:val="00973A71"/>
    <w:rsid w:val="00973FDA"/>
    <w:rsid w:val="009767D3"/>
    <w:rsid w:val="00980ED4"/>
    <w:rsid w:val="00981286"/>
    <w:rsid w:val="00981965"/>
    <w:rsid w:val="009824C9"/>
    <w:rsid w:val="00983239"/>
    <w:rsid w:val="00983E06"/>
    <w:rsid w:val="00983F0D"/>
    <w:rsid w:val="0098635E"/>
    <w:rsid w:val="0098641D"/>
    <w:rsid w:val="0099026E"/>
    <w:rsid w:val="00991552"/>
    <w:rsid w:val="009A18AA"/>
    <w:rsid w:val="009A321C"/>
    <w:rsid w:val="009A3F41"/>
    <w:rsid w:val="009A4E12"/>
    <w:rsid w:val="009A5EB5"/>
    <w:rsid w:val="009A68ED"/>
    <w:rsid w:val="009A6FC7"/>
    <w:rsid w:val="009A7098"/>
    <w:rsid w:val="009A75CD"/>
    <w:rsid w:val="009B0243"/>
    <w:rsid w:val="009B066D"/>
    <w:rsid w:val="009B1931"/>
    <w:rsid w:val="009B1BAE"/>
    <w:rsid w:val="009B23CB"/>
    <w:rsid w:val="009B26DA"/>
    <w:rsid w:val="009B29A0"/>
    <w:rsid w:val="009B3809"/>
    <w:rsid w:val="009B4576"/>
    <w:rsid w:val="009B49BD"/>
    <w:rsid w:val="009B61D0"/>
    <w:rsid w:val="009B670B"/>
    <w:rsid w:val="009C0667"/>
    <w:rsid w:val="009C08A4"/>
    <w:rsid w:val="009C09AB"/>
    <w:rsid w:val="009C1BF1"/>
    <w:rsid w:val="009C45CE"/>
    <w:rsid w:val="009C58E3"/>
    <w:rsid w:val="009C5B53"/>
    <w:rsid w:val="009C6AB1"/>
    <w:rsid w:val="009C716D"/>
    <w:rsid w:val="009D2F2E"/>
    <w:rsid w:val="009D455A"/>
    <w:rsid w:val="009D616F"/>
    <w:rsid w:val="009E035D"/>
    <w:rsid w:val="009E1186"/>
    <w:rsid w:val="009E3388"/>
    <w:rsid w:val="009E457E"/>
    <w:rsid w:val="009E5DFC"/>
    <w:rsid w:val="009E6A1E"/>
    <w:rsid w:val="009E6E15"/>
    <w:rsid w:val="009F0C22"/>
    <w:rsid w:val="009F144E"/>
    <w:rsid w:val="009F145D"/>
    <w:rsid w:val="009F237D"/>
    <w:rsid w:val="009F3616"/>
    <w:rsid w:val="009F390E"/>
    <w:rsid w:val="009F3AD3"/>
    <w:rsid w:val="009F3F39"/>
    <w:rsid w:val="009F4820"/>
    <w:rsid w:val="009F5EED"/>
    <w:rsid w:val="009F6BF5"/>
    <w:rsid w:val="009F76E9"/>
    <w:rsid w:val="009F778B"/>
    <w:rsid w:val="00A0271E"/>
    <w:rsid w:val="00A02B5A"/>
    <w:rsid w:val="00A02F50"/>
    <w:rsid w:val="00A03261"/>
    <w:rsid w:val="00A0361A"/>
    <w:rsid w:val="00A05E17"/>
    <w:rsid w:val="00A0643F"/>
    <w:rsid w:val="00A06E37"/>
    <w:rsid w:val="00A11903"/>
    <w:rsid w:val="00A150F5"/>
    <w:rsid w:val="00A1631D"/>
    <w:rsid w:val="00A17BDE"/>
    <w:rsid w:val="00A20800"/>
    <w:rsid w:val="00A213F2"/>
    <w:rsid w:val="00A22281"/>
    <w:rsid w:val="00A226DC"/>
    <w:rsid w:val="00A229F8"/>
    <w:rsid w:val="00A23B93"/>
    <w:rsid w:val="00A23D42"/>
    <w:rsid w:val="00A276D0"/>
    <w:rsid w:val="00A30872"/>
    <w:rsid w:val="00A30FC9"/>
    <w:rsid w:val="00A347E7"/>
    <w:rsid w:val="00A403AB"/>
    <w:rsid w:val="00A41E4D"/>
    <w:rsid w:val="00A4218E"/>
    <w:rsid w:val="00A42BFE"/>
    <w:rsid w:val="00A434CF"/>
    <w:rsid w:val="00A43648"/>
    <w:rsid w:val="00A439D7"/>
    <w:rsid w:val="00A43BC4"/>
    <w:rsid w:val="00A4475B"/>
    <w:rsid w:val="00A45922"/>
    <w:rsid w:val="00A45B05"/>
    <w:rsid w:val="00A47137"/>
    <w:rsid w:val="00A477B5"/>
    <w:rsid w:val="00A527FB"/>
    <w:rsid w:val="00A52DE2"/>
    <w:rsid w:val="00A52EF8"/>
    <w:rsid w:val="00A54C88"/>
    <w:rsid w:val="00A55422"/>
    <w:rsid w:val="00A55C34"/>
    <w:rsid w:val="00A56CE6"/>
    <w:rsid w:val="00A57D44"/>
    <w:rsid w:val="00A57F67"/>
    <w:rsid w:val="00A60ADA"/>
    <w:rsid w:val="00A62E13"/>
    <w:rsid w:val="00A64EA0"/>
    <w:rsid w:val="00A664BA"/>
    <w:rsid w:val="00A670AA"/>
    <w:rsid w:val="00A7064E"/>
    <w:rsid w:val="00A709D7"/>
    <w:rsid w:val="00A71181"/>
    <w:rsid w:val="00A71316"/>
    <w:rsid w:val="00A71A92"/>
    <w:rsid w:val="00A71DEB"/>
    <w:rsid w:val="00A7371A"/>
    <w:rsid w:val="00A75619"/>
    <w:rsid w:val="00A762A6"/>
    <w:rsid w:val="00A76AEF"/>
    <w:rsid w:val="00A76B20"/>
    <w:rsid w:val="00A80188"/>
    <w:rsid w:val="00A83859"/>
    <w:rsid w:val="00A8470E"/>
    <w:rsid w:val="00A85D64"/>
    <w:rsid w:val="00A85E0F"/>
    <w:rsid w:val="00A86286"/>
    <w:rsid w:val="00A86AF5"/>
    <w:rsid w:val="00A87FA8"/>
    <w:rsid w:val="00A904E3"/>
    <w:rsid w:val="00A931AA"/>
    <w:rsid w:val="00A9406C"/>
    <w:rsid w:val="00A957F4"/>
    <w:rsid w:val="00A95F58"/>
    <w:rsid w:val="00A9661A"/>
    <w:rsid w:val="00A967DB"/>
    <w:rsid w:val="00A97B07"/>
    <w:rsid w:val="00AA0141"/>
    <w:rsid w:val="00AA04CC"/>
    <w:rsid w:val="00AA148B"/>
    <w:rsid w:val="00AA1772"/>
    <w:rsid w:val="00AA26D7"/>
    <w:rsid w:val="00AA27F4"/>
    <w:rsid w:val="00AA2FD0"/>
    <w:rsid w:val="00AA4542"/>
    <w:rsid w:val="00AA5720"/>
    <w:rsid w:val="00AA5B26"/>
    <w:rsid w:val="00AA5B46"/>
    <w:rsid w:val="00AA7410"/>
    <w:rsid w:val="00AB071B"/>
    <w:rsid w:val="00AB249E"/>
    <w:rsid w:val="00AB33D3"/>
    <w:rsid w:val="00AB3A5A"/>
    <w:rsid w:val="00AB5491"/>
    <w:rsid w:val="00AB6151"/>
    <w:rsid w:val="00AB63A9"/>
    <w:rsid w:val="00AB6BDC"/>
    <w:rsid w:val="00AC053F"/>
    <w:rsid w:val="00AC0B3A"/>
    <w:rsid w:val="00AC2968"/>
    <w:rsid w:val="00AC2BCF"/>
    <w:rsid w:val="00AC3F9A"/>
    <w:rsid w:val="00AC4F91"/>
    <w:rsid w:val="00AC5ED8"/>
    <w:rsid w:val="00AC6426"/>
    <w:rsid w:val="00AC68D0"/>
    <w:rsid w:val="00AC79EA"/>
    <w:rsid w:val="00AC7F29"/>
    <w:rsid w:val="00AD1152"/>
    <w:rsid w:val="00AD1E7D"/>
    <w:rsid w:val="00AD2B22"/>
    <w:rsid w:val="00AD4D49"/>
    <w:rsid w:val="00AD572A"/>
    <w:rsid w:val="00AD5FEF"/>
    <w:rsid w:val="00AE2487"/>
    <w:rsid w:val="00AE3488"/>
    <w:rsid w:val="00AE4DAF"/>
    <w:rsid w:val="00AE73FD"/>
    <w:rsid w:val="00AF21F0"/>
    <w:rsid w:val="00AF2CB6"/>
    <w:rsid w:val="00AF42AB"/>
    <w:rsid w:val="00AF49B1"/>
    <w:rsid w:val="00AF49D9"/>
    <w:rsid w:val="00AF50DC"/>
    <w:rsid w:val="00AF5380"/>
    <w:rsid w:val="00AF5DA3"/>
    <w:rsid w:val="00AF64E5"/>
    <w:rsid w:val="00B02181"/>
    <w:rsid w:val="00B0243B"/>
    <w:rsid w:val="00B025EA"/>
    <w:rsid w:val="00B03FC1"/>
    <w:rsid w:val="00B063D7"/>
    <w:rsid w:val="00B07009"/>
    <w:rsid w:val="00B073C4"/>
    <w:rsid w:val="00B10580"/>
    <w:rsid w:val="00B108AD"/>
    <w:rsid w:val="00B1445C"/>
    <w:rsid w:val="00B1484C"/>
    <w:rsid w:val="00B14B34"/>
    <w:rsid w:val="00B150A4"/>
    <w:rsid w:val="00B15B6F"/>
    <w:rsid w:val="00B17CF6"/>
    <w:rsid w:val="00B17EC5"/>
    <w:rsid w:val="00B20219"/>
    <w:rsid w:val="00B22FA8"/>
    <w:rsid w:val="00B26091"/>
    <w:rsid w:val="00B2673F"/>
    <w:rsid w:val="00B26FE2"/>
    <w:rsid w:val="00B3077D"/>
    <w:rsid w:val="00B309BA"/>
    <w:rsid w:val="00B33EFF"/>
    <w:rsid w:val="00B34244"/>
    <w:rsid w:val="00B34DF7"/>
    <w:rsid w:val="00B36720"/>
    <w:rsid w:val="00B37BC3"/>
    <w:rsid w:val="00B4083D"/>
    <w:rsid w:val="00B408C8"/>
    <w:rsid w:val="00B40C4F"/>
    <w:rsid w:val="00B41940"/>
    <w:rsid w:val="00B42D94"/>
    <w:rsid w:val="00B46C49"/>
    <w:rsid w:val="00B47132"/>
    <w:rsid w:val="00B47B68"/>
    <w:rsid w:val="00B5006F"/>
    <w:rsid w:val="00B50AE3"/>
    <w:rsid w:val="00B52655"/>
    <w:rsid w:val="00B5427E"/>
    <w:rsid w:val="00B54D24"/>
    <w:rsid w:val="00B57D29"/>
    <w:rsid w:val="00B57D51"/>
    <w:rsid w:val="00B62A26"/>
    <w:rsid w:val="00B63AAC"/>
    <w:rsid w:val="00B641E7"/>
    <w:rsid w:val="00B65E20"/>
    <w:rsid w:val="00B7008F"/>
    <w:rsid w:val="00B74505"/>
    <w:rsid w:val="00B745E7"/>
    <w:rsid w:val="00B74811"/>
    <w:rsid w:val="00B751AD"/>
    <w:rsid w:val="00B763D7"/>
    <w:rsid w:val="00B776AC"/>
    <w:rsid w:val="00B82431"/>
    <w:rsid w:val="00B83154"/>
    <w:rsid w:val="00B833CC"/>
    <w:rsid w:val="00B83B49"/>
    <w:rsid w:val="00B83C9C"/>
    <w:rsid w:val="00B85B10"/>
    <w:rsid w:val="00B8677B"/>
    <w:rsid w:val="00B87C42"/>
    <w:rsid w:val="00B90307"/>
    <w:rsid w:val="00B947DC"/>
    <w:rsid w:val="00B95B51"/>
    <w:rsid w:val="00B96946"/>
    <w:rsid w:val="00B96CC3"/>
    <w:rsid w:val="00B96F2F"/>
    <w:rsid w:val="00BA012B"/>
    <w:rsid w:val="00BA1C21"/>
    <w:rsid w:val="00BA1FF1"/>
    <w:rsid w:val="00BA2DB7"/>
    <w:rsid w:val="00BA3889"/>
    <w:rsid w:val="00BA3AF4"/>
    <w:rsid w:val="00BA4822"/>
    <w:rsid w:val="00BA496E"/>
    <w:rsid w:val="00BA5586"/>
    <w:rsid w:val="00BA5ED7"/>
    <w:rsid w:val="00BA652B"/>
    <w:rsid w:val="00BA73A3"/>
    <w:rsid w:val="00BB0A3B"/>
    <w:rsid w:val="00BB1061"/>
    <w:rsid w:val="00BB1684"/>
    <w:rsid w:val="00BB2A78"/>
    <w:rsid w:val="00BB352D"/>
    <w:rsid w:val="00BB396D"/>
    <w:rsid w:val="00BB4E05"/>
    <w:rsid w:val="00BB5ED2"/>
    <w:rsid w:val="00BB6A42"/>
    <w:rsid w:val="00BC10A5"/>
    <w:rsid w:val="00BC1181"/>
    <w:rsid w:val="00BC1B2B"/>
    <w:rsid w:val="00BC1E67"/>
    <w:rsid w:val="00BC3BC7"/>
    <w:rsid w:val="00BC3E1D"/>
    <w:rsid w:val="00BC45C2"/>
    <w:rsid w:val="00BC4692"/>
    <w:rsid w:val="00BC6C9A"/>
    <w:rsid w:val="00BC7D48"/>
    <w:rsid w:val="00BD00E9"/>
    <w:rsid w:val="00BD0258"/>
    <w:rsid w:val="00BD0FF3"/>
    <w:rsid w:val="00BD3914"/>
    <w:rsid w:val="00BD439C"/>
    <w:rsid w:val="00BD48FF"/>
    <w:rsid w:val="00BD4B9B"/>
    <w:rsid w:val="00BD6460"/>
    <w:rsid w:val="00BD65E4"/>
    <w:rsid w:val="00BD748A"/>
    <w:rsid w:val="00BD7499"/>
    <w:rsid w:val="00BD7A36"/>
    <w:rsid w:val="00BE2130"/>
    <w:rsid w:val="00BE4AD0"/>
    <w:rsid w:val="00BE7C24"/>
    <w:rsid w:val="00BF005F"/>
    <w:rsid w:val="00BF04F4"/>
    <w:rsid w:val="00BF150D"/>
    <w:rsid w:val="00BF2AB4"/>
    <w:rsid w:val="00BF46E1"/>
    <w:rsid w:val="00C02528"/>
    <w:rsid w:val="00C06816"/>
    <w:rsid w:val="00C11E12"/>
    <w:rsid w:val="00C14B06"/>
    <w:rsid w:val="00C17002"/>
    <w:rsid w:val="00C2238F"/>
    <w:rsid w:val="00C241C4"/>
    <w:rsid w:val="00C243A9"/>
    <w:rsid w:val="00C2582F"/>
    <w:rsid w:val="00C26319"/>
    <w:rsid w:val="00C2660D"/>
    <w:rsid w:val="00C27296"/>
    <w:rsid w:val="00C2798C"/>
    <w:rsid w:val="00C31E9B"/>
    <w:rsid w:val="00C33D77"/>
    <w:rsid w:val="00C400FE"/>
    <w:rsid w:val="00C4437F"/>
    <w:rsid w:val="00C44DB8"/>
    <w:rsid w:val="00C46D94"/>
    <w:rsid w:val="00C4726D"/>
    <w:rsid w:val="00C47472"/>
    <w:rsid w:val="00C47C9E"/>
    <w:rsid w:val="00C506CE"/>
    <w:rsid w:val="00C5337F"/>
    <w:rsid w:val="00C53AE2"/>
    <w:rsid w:val="00C53E76"/>
    <w:rsid w:val="00C53F98"/>
    <w:rsid w:val="00C53FD4"/>
    <w:rsid w:val="00C557D1"/>
    <w:rsid w:val="00C55A68"/>
    <w:rsid w:val="00C568CA"/>
    <w:rsid w:val="00C569EC"/>
    <w:rsid w:val="00C56B6D"/>
    <w:rsid w:val="00C57B53"/>
    <w:rsid w:val="00C613CB"/>
    <w:rsid w:val="00C6243E"/>
    <w:rsid w:val="00C62E95"/>
    <w:rsid w:val="00C63829"/>
    <w:rsid w:val="00C6388A"/>
    <w:rsid w:val="00C63A1B"/>
    <w:rsid w:val="00C64F1C"/>
    <w:rsid w:val="00C65B0A"/>
    <w:rsid w:val="00C679CD"/>
    <w:rsid w:val="00C67B41"/>
    <w:rsid w:val="00C72821"/>
    <w:rsid w:val="00C7313C"/>
    <w:rsid w:val="00C733F2"/>
    <w:rsid w:val="00C739DC"/>
    <w:rsid w:val="00C75125"/>
    <w:rsid w:val="00C768A0"/>
    <w:rsid w:val="00C805DA"/>
    <w:rsid w:val="00C816F4"/>
    <w:rsid w:val="00C860E3"/>
    <w:rsid w:val="00C87227"/>
    <w:rsid w:val="00C87665"/>
    <w:rsid w:val="00C87773"/>
    <w:rsid w:val="00C87D58"/>
    <w:rsid w:val="00C90DB7"/>
    <w:rsid w:val="00C914CF"/>
    <w:rsid w:val="00C926D9"/>
    <w:rsid w:val="00C92D3E"/>
    <w:rsid w:val="00C93610"/>
    <w:rsid w:val="00C944FA"/>
    <w:rsid w:val="00C94750"/>
    <w:rsid w:val="00C94C59"/>
    <w:rsid w:val="00C95126"/>
    <w:rsid w:val="00C96B5F"/>
    <w:rsid w:val="00C96DE2"/>
    <w:rsid w:val="00CA0210"/>
    <w:rsid w:val="00CA16EF"/>
    <w:rsid w:val="00CA1F5A"/>
    <w:rsid w:val="00CA2D35"/>
    <w:rsid w:val="00CA397F"/>
    <w:rsid w:val="00CA455C"/>
    <w:rsid w:val="00CA4994"/>
    <w:rsid w:val="00CA4DCE"/>
    <w:rsid w:val="00CA656B"/>
    <w:rsid w:val="00CA6A61"/>
    <w:rsid w:val="00CA7B54"/>
    <w:rsid w:val="00CB175C"/>
    <w:rsid w:val="00CB4000"/>
    <w:rsid w:val="00CB454E"/>
    <w:rsid w:val="00CB4D0A"/>
    <w:rsid w:val="00CB4DF0"/>
    <w:rsid w:val="00CB7CBC"/>
    <w:rsid w:val="00CC042F"/>
    <w:rsid w:val="00CC0F64"/>
    <w:rsid w:val="00CC0FAF"/>
    <w:rsid w:val="00CC1652"/>
    <w:rsid w:val="00CC236C"/>
    <w:rsid w:val="00CC27F5"/>
    <w:rsid w:val="00CC2D54"/>
    <w:rsid w:val="00CC4DEB"/>
    <w:rsid w:val="00CC532E"/>
    <w:rsid w:val="00CC60FB"/>
    <w:rsid w:val="00CC6776"/>
    <w:rsid w:val="00CD0F98"/>
    <w:rsid w:val="00CD14B4"/>
    <w:rsid w:val="00CD15DF"/>
    <w:rsid w:val="00CD4436"/>
    <w:rsid w:val="00CD6E02"/>
    <w:rsid w:val="00CD7852"/>
    <w:rsid w:val="00CE0FE5"/>
    <w:rsid w:val="00CE1DEC"/>
    <w:rsid w:val="00CE2A3A"/>
    <w:rsid w:val="00CE44B2"/>
    <w:rsid w:val="00CE46D3"/>
    <w:rsid w:val="00CE62B9"/>
    <w:rsid w:val="00CE637F"/>
    <w:rsid w:val="00CE70FA"/>
    <w:rsid w:val="00CF13BB"/>
    <w:rsid w:val="00CF520C"/>
    <w:rsid w:val="00CF5A68"/>
    <w:rsid w:val="00CF5E5C"/>
    <w:rsid w:val="00CF76F9"/>
    <w:rsid w:val="00D00937"/>
    <w:rsid w:val="00D00FE4"/>
    <w:rsid w:val="00D0115C"/>
    <w:rsid w:val="00D011FD"/>
    <w:rsid w:val="00D02A23"/>
    <w:rsid w:val="00D03046"/>
    <w:rsid w:val="00D04274"/>
    <w:rsid w:val="00D0519C"/>
    <w:rsid w:val="00D05860"/>
    <w:rsid w:val="00D059F0"/>
    <w:rsid w:val="00D06A4A"/>
    <w:rsid w:val="00D071A1"/>
    <w:rsid w:val="00D13A65"/>
    <w:rsid w:val="00D143C3"/>
    <w:rsid w:val="00D147A7"/>
    <w:rsid w:val="00D15D8D"/>
    <w:rsid w:val="00D17073"/>
    <w:rsid w:val="00D174A2"/>
    <w:rsid w:val="00D204A7"/>
    <w:rsid w:val="00D20BF2"/>
    <w:rsid w:val="00D23E3E"/>
    <w:rsid w:val="00D2470A"/>
    <w:rsid w:val="00D25E2D"/>
    <w:rsid w:val="00D27A7F"/>
    <w:rsid w:val="00D27EE4"/>
    <w:rsid w:val="00D30208"/>
    <w:rsid w:val="00D303AB"/>
    <w:rsid w:val="00D30D54"/>
    <w:rsid w:val="00D30E9C"/>
    <w:rsid w:val="00D31F54"/>
    <w:rsid w:val="00D3226E"/>
    <w:rsid w:val="00D3410F"/>
    <w:rsid w:val="00D352B6"/>
    <w:rsid w:val="00D361F9"/>
    <w:rsid w:val="00D36DF2"/>
    <w:rsid w:val="00D37B45"/>
    <w:rsid w:val="00D40FEE"/>
    <w:rsid w:val="00D442BA"/>
    <w:rsid w:val="00D45344"/>
    <w:rsid w:val="00D4558B"/>
    <w:rsid w:val="00D459BE"/>
    <w:rsid w:val="00D50106"/>
    <w:rsid w:val="00D50E50"/>
    <w:rsid w:val="00D514D1"/>
    <w:rsid w:val="00D51F15"/>
    <w:rsid w:val="00D5228B"/>
    <w:rsid w:val="00D53BE4"/>
    <w:rsid w:val="00D5501A"/>
    <w:rsid w:val="00D55C57"/>
    <w:rsid w:val="00D572CA"/>
    <w:rsid w:val="00D5788F"/>
    <w:rsid w:val="00D57DA5"/>
    <w:rsid w:val="00D61B32"/>
    <w:rsid w:val="00D62B58"/>
    <w:rsid w:val="00D63331"/>
    <w:rsid w:val="00D6481C"/>
    <w:rsid w:val="00D64AC6"/>
    <w:rsid w:val="00D65DFF"/>
    <w:rsid w:val="00D66141"/>
    <w:rsid w:val="00D6658F"/>
    <w:rsid w:val="00D66619"/>
    <w:rsid w:val="00D67D99"/>
    <w:rsid w:val="00D7004F"/>
    <w:rsid w:val="00D7056A"/>
    <w:rsid w:val="00D70E55"/>
    <w:rsid w:val="00D72C12"/>
    <w:rsid w:val="00D74565"/>
    <w:rsid w:val="00D7464A"/>
    <w:rsid w:val="00D75C56"/>
    <w:rsid w:val="00D76EC5"/>
    <w:rsid w:val="00D824DB"/>
    <w:rsid w:val="00D82A51"/>
    <w:rsid w:val="00D83ADC"/>
    <w:rsid w:val="00D83B50"/>
    <w:rsid w:val="00D83FF9"/>
    <w:rsid w:val="00D86031"/>
    <w:rsid w:val="00D863AC"/>
    <w:rsid w:val="00D87638"/>
    <w:rsid w:val="00D902BD"/>
    <w:rsid w:val="00D90FD2"/>
    <w:rsid w:val="00D9114D"/>
    <w:rsid w:val="00D924DC"/>
    <w:rsid w:val="00D92A72"/>
    <w:rsid w:val="00D93FAE"/>
    <w:rsid w:val="00D94738"/>
    <w:rsid w:val="00D95755"/>
    <w:rsid w:val="00D96119"/>
    <w:rsid w:val="00DA25EB"/>
    <w:rsid w:val="00DA2961"/>
    <w:rsid w:val="00DA2CF2"/>
    <w:rsid w:val="00DA3C1B"/>
    <w:rsid w:val="00DA4315"/>
    <w:rsid w:val="00DA4B54"/>
    <w:rsid w:val="00DA5697"/>
    <w:rsid w:val="00DA65AD"/>
    <w:rsid w:val="00DA71D4"/>
    <w:rsid w:val="00DA77F2"/>
    <w:rsid w:val="00DA7A55"/>
    <w:rsid w:val="00DB24AF"/>
    <w:rsid w:val="00DB2B6D"/>
    <w:rsid w:val="00DB304C"/>
    <w:rsid w:val="00DB4333"/>
    <w:rsid w:val="00DB4594"/>
    <w:rsid w:val="00DB4A8C"/>
    <w:rsid w:val="00DC143A"/>
    <w:rsid w:val="00DC2D29"/>
    <w:rsid w:val="00DC2F6A"/>
    <w:rsid w:val="00DC5A05"/>
    <w:rsid w:val="00DC6D8E"/>
    <w:rsid w:val="00DC7D6D"/>
    <w:rsid w:val="00DD30BC"/>
    <w:rsid w:val="00DD3F63"/>
    <w:rsid w:val="00DD4AA2"/>
    <w:rsid w:val="00DD4AA4"/>
    <w:rsid w:val="00DD52DE"/>
    <w:rsid w:val="00DE13A3"/>
    <w:rsid w:val="00DE3AF7"/>
    <w:rsid w:val="00DE3B92"/>
    <w:rsid w:val="00DE3D4C"/>
    <w:rsid w:val="00DE55FC"/>
    <w:rsid w:val="00DE6641"/>
    <w:rsid w:val="00DE7C11"/>
    <w:rsid w:val="00DF028E"/>
    <w:rsid w:val="00DF02C8"/>
    <w:rsid w:val="00DF6795"/>
    <w:rsid w:val="00DF699F"/>
    <w:rsid w:val="00DF6CCD"/>
    <w:rsid w:val="00DF7C7E"/>
    <w:rsid w:val="00E000A0"/>
    <w:rsid w:val="00E00CB0"/>
    <w:rsid w:val="00E01086"/>
    <w:rsid w:val="00E06184"/>
    <w:rsid w:val="00E06CD9"/>
    <w:rsid w:val="00E108C7"/>
    <w:rsid w:val="00E10B09"/>
    <w:rsid w:val="00E12466"/>
    <w:rsid w:val="00E139CC"/>
    <w:rsid w:val="00E145B6"/>
    <w:rsid w:val="00E14D82"/>
    <w:rsid w:val="00E152A7"/>
    <w:rsid w:val="00E17591"/>
    <w:rsid w:val="00E22704"/>
    <w:rsid w:val="00E25AF6"/>
    <w:rsid w:val="00E318F2"/>
    <w:rsid w:val="00E3263D"/>
    <w:rsid w:val="00E32657"/>
    <w:rsid w:val="00E3360D"/>
    <w:rsid w:val="00E33F2E"/>
    <w:rsid w:val="00E340C8"/>
    <w:rsid w:val="00E34680"/>
    <w:rsid w:val="00E364FB"/>
    <w:rsid w:val="00E3785A"/>
    <w:rsid w:val="00E37DD7"/>
    <w:rsid w:val="00E40CB1"/>
    <w:rsid w:val="00E41754"/>
    <w:rsid w:val="00E41E37"/>
    <w:rsid w:val="00E41EF0"/>
    <w:rsid w:val="00E41FA2"/>
    <w:rsid w:val="00E44659"/>
    <w:rsid w:val="00E45C58"/>
    <w:rsid w:val="00E46893"/>
    <w:rsid w:val="00E469F0"/>
    <w:rsid w:val="00E46EAB"/>
    <w:rsid w:val="00E4787B"/>
    <w:rsid w:val="00E50114"/>
    <w:rsid w:val="00E5050F"/>
    <w:rsid w:val="00E521AD"/>
    <w:rsid w:val="00E532D6"/>
    <w:rsid w:val="00E55AB6"/>
    <w:rsid w:val="00E569B7"/>
    <w:rsid w:val="00E57536"/>
    <w:rsid w:val="00E57C45"/>
    <w:rsid w:val="00E57D8A"/>
    <w:rsid w:val="00E626E9"/>
    <w:rsid w:val="00E63041"/>
    <w:rsid w:val="00E66E79"/>
    <w:rsid w:val="00E67088"/>
    <w:rsid w:val="00E7042F"/>
    <w:rsid w:val="00E70512"/>
    <w:rsid w:val="00E70646"/>
    <w:rsid w:val="00E71B13"/>
    <w:rsid w:val="00E72AA3"/>
    <w:rsid w:val="00E72B0B"/>
    <w:rsid w:val="00E741AA"/>
    <w:rsid w:val="00E7474F"/>
    <w:rsid w:val="00E7521D"/>
    <w:rsid w:val="00E76162"/>
    <w:rsid w:val="00E76230"/>
    <w:rsid w:val="00E762C4"/>
    <w:rsid w:val="00E80C7A"/>
    <w:rsid w:val="00E80F36"/>
    <w:rsid w:val="00E81211"/>
    <w:rsid w:val="00E818C1"/>
    <w:rsid w:val="00E84379"/>
    <w:rsid w:val="00E84883"/>
    <w:rsid w:val="00E84C4D"/>
    <w:rsid w:val="00E8646E"/>
    <w:rsid w:val="00E871EC"/>
    <w:rsid w:val="00E87E1C"/>
    <w:rsid w:val="00E90D83"/>
    <w:rsid w:val="00E90DF1"/>
    <w:rsid w:val="00E91399"/>
    <w:rsid w:val="00E9348F"/>
    <w:rsid w:val="00E95A63"/>
    <w:rsid w:val="00E95B17"/>
    <w:rsid w:val="00E971BC"/>
    <w:rsid w:val="00E97804"/>
    <w:rsid w:val="00E97EE5"/>
    <w:rsid w:val="00EA10AB"/>
    <w:rsid w:val="00EA10E5"/>
    <w:rsid w:val="00EA1676"/>
    <w:rsid w:val="00EA1677"/>
    <w:rsid w:val="00EA34A7"/>
    <w:rsid w:val="00EA4575"/>
    <w:rsid w:val="00EA4603"/>
    <w:rsid w:val="00EA4F36"/>
    <w:rsid w:val="00EA66E5"/>
    <w:rsid w:val="00EA6A27"/>
    <w:rsid w:val="00EB1962"/>
    <w:rsid w:val="00EB30BD"/>
    <w:rsid w:val="00EB34B1"/>
    <w:rsid w:val="00EB34EC"/>
    <w:rsid w:val="00EB5225"/>
    <w:rsid w:val="00EB6D14"/>
    <w:rsid w:val="00EC063B"/>
    <w:rsid w:val="00EC067F"/>
    <w:rsid w:val="00EC0F2D"/>
    <w:rsid w:val="00EC3E3D"/>
    <w:rsid w:val="00EC4623"/>
    <w:rsid w:val="00EC5B36"/>
    <w:rsid w:val="00EC7799"/>
    <w:rsid w:val="00ED1AE7"/>
    <w:rsid w:val="00ED2218"/>
    <w:rsid w:val="00ED2620"/>
    <w:rsid w:val="00ED32D9"/>
    <w:rsid w:val="00ED38A9"/>
    <w:rsid w:val="00ED3ECB"/>
    <w:rsid w:val="00ED455B"/>
    <w:rsid w:val="00ED50CE"/>
    <w:rsid w:val="00ED593A"/>
    <w:rsid w:val="00ED60C3"/>
    <w:rsid w:val="00ED6491"/>
    <w:rsid w:val="00EE0066"/>
    <w:rsid w:val="00EE13CD"/>
    <w:rsid w:val="00EE1E9A"/>
    <w:rsid w:val="00EE44E5"/>
    <w:rsid w:val="00EE47CC"/>
    <w:rsid w:val="00EE7FEF"/>
    <w:rsid w:val="00EF31A7"/>
    <w:rsid w:val="00EF41A9"/>
    <w:rsid w:val="00EF4C60"/>
    <w:rsid w:val="00EF68B1"/>
    <w:rsid w:val="00EF7162"/>
    <w:rsid w:val="00F014A8"/>
    <w:rsid w:val="00F01AB6"/>
    <w:rsid w:val="00F042FF"/>
    <w:rsid w:val="00F04D43"/>
    <w:rsid w:val="00F050DE"/>
    <w:rsid w:val="00F05DB5"/>
    <w:rsid w:val="00F11661"/>
    <w:rsid w:val="00F118A2"/>
    <w:rsid w:val="00F121A5"/>
    <w:rsid w:val="00F12419"/>
    <w:rsid w:val="00F126A3"/>
    <w:rsid w:val="00F1294E"/>
    <w:rsid w:val="00F146C3"/>
    <w:rsid w:val="00F15788"/>
    <w:rsid w:val="00F15AA3"/>
    <w:rsid w:val="00F1709B"/>
    <w:rsid w:val="00F170C8"/>
    <w:rsid w:val="00F2164E"/>
    <w:rsid w:val="00F230E0"/>
    <w:rsid w:val="00F2377D"/>
    <w:rsid w:val="00F27862"/>
    <w:rsid w:val="00F27BA4"/>
    <w:rsid w:val="00F27C64"/>
    <w:rsid w:val="00F27FEE"/>
    <w:rsid w:val="00F32C5E"/>
    <w:rsid w:val="00F347B7"/>
    <w:rsid w:val="00F34B25"/>
    <w:rsid w:val="00F34CE3"/>
    <w:rsid w:val="00F35FF4"/>
    <w:rsid w:val="00F3705C"/>
    <w:rsid w:val="00F40A3B"/>
    <w:rsid w:val="00F40A85"/>
    <w:rsid w:val="00F435BF"/>
    <w:rsid w:val="00F45982"/>
    <w:rsid w:val="00F4705E"/>
    <w:rsid w:val="00F47064"/>
    <w:rsid w:val="00F50E6D"/>
    <w:rsid w:val="00F52058"/>
    <w:rsid w:val="00F528C7"/>
    <w:rsid w:val="00F5322B"/>
    <w:rsid w:val="00F550EF"/>
    <w:rsid w:val="00F566C6"/>
    <w:rsid w:val="00F568EF"/>
    <w:rsid w:val="00F56C69"/>
    <w:rsid w:val="00F56E1F"/>
    <w:rsid w:val="00F57163"/>
    <w:rsid w:val="00F642CF"/>
    <w:rsid w:val="00F645A6"/>
    <w:rsid w:val="00F70C2A"/>
    <w:rsid w:val="00F715F9"/>
    <w:rsid w:val="00F72658"/>
    <w:rsid w:val="00F73375"/>
    <w:rsid w:val="00F73B1A"/>
    <w:rsid w:val="00F73BA3"/>
    <w:rsid w:val="00F74531"/>
    <w:rsid w:val="00F74A81"/>
    <w:rsid w:val="00F75822"/>
    <w:rsid w:val="00F76239"/>
    <w:rsid w:val="00F7667B"/>
    <w:rsid w:val="00F766DF"/>
    <w:rsid w:val="00F77707"/>
    <w:rsid w:val="00F81B30"/>
    <w:rsid w:val="00F83A3B"/>
    <w:rsid w:val="00F84FCB"/>
    <w:rsid w:val="00F85048"/>
    <w:rsid w:val="00F8517B"/>
    <w:rsid w:val="00F85958"/>
    <w:rsid w:val="00F86059"/>
    <w:rsid w:val="00F862FE"/>
    <w:rsid w:val="00F875F8"/>
    <w:rsid w:val="00F90BCF"/>
    <w:rsid w:val="00F91200"/>
    <w:rsid w:val="00F93C99"/>
    <w:rsid w:val="00F95C1B"/>
    <w:rsid w:val="00F95F52"/>
    <w:rsid w:val="00F976BA"/>
    <w:rsid w:val="00F978EC"/>
    <w:rsid w:val="00FA0282"/>
    <w:rsid w:val="00FA10C0"/>
    <w:rsid w:val="00FA1DDE"/>
    <w:rsid w:val="00FA2715"/>
    <w:rsid w:val="00FA41F6"/>
    <w:rsid w:val="00FA4749"/>
    <w:rsid w:val="00FA4C37"/>
    <w:rsid w:val="00FA74B3"/>
    <w:rsid w:val="00FB0696"/>
    <w:rsid w:val="00FB1836"/>
    <w:rsid w:val="00FB3232"/>
    <w:rsid w:val="00FB370F"/>
    <w:rsid w:val="00FB44D5"/>
    <w:rsid w:val="00FB5294"/>
    <w:rsid w:val="00FB52BA"/>
    <w:rsid w:val="00FB619D"/>
    <w:rsid w:val="00FB7197"/>
    <w:rsid w:val="00FB78FE"/>
    <w:rsid w:val="00FC0D16"/>
    <w:rsid w:val="00FC1A06"/>
    <w:rsid w:val="00FC2312"/>
    <w:rsid w:val="00FC270B"/>
    <w:rsid w:val="00FC2FC3"/>
    <w:rsid w:val="00FC5B95"/>
    <w:rsid w:val="00FD16FB"/>
    <w:rsid w:val="00FD2DBA"/>
    <w:rsid w:val="00FD4C0E"/>
    <w:rsid w:val="00FD6FFE"/>
    <w:rsid w:val="00FD7DC5"/>
    <w:rsid w:val="00FE0D4C"/>
    <w:rsid w:val="00FE1DC9"/>
    <w:rsid w:val="00FE24EE"/>
    <w:rsid w:val="00FE4749"/>
    <w:rsid w:val="00FE4A03"/>
    <w:rsid w:val="00FE69F7"/>
    <w:rsid w:val="00FE7377"/>
    <w:rsid w:val="00FE7AC3"/>
    <w:rsid w:val="00FF0562"/>
    <w:rsid w:val="00FF06AC"/>
    <w:rsid w:val="00FF0BE3"/>
    <w:rsid w:val="00FF4E48"/>
    <w:rsid w:val="00FF4F79"/>
    <w:rsid w:val="00FF52AE"/>
    <w:rsid w:val="00FF5E4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ED2A5"/>
  <w15:chartTrackingRefBased/>
  <w15:docId w15:val="{D8B1824E-CAD7-4A9B-9F1F-79D09EF94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319D"/>
    <w:pPr>
      <w:ind w:left="720"/>
      <w:contextualSpacing/>
    </w:pPr>
  </w:style>
  <w:style w:type="paragraph" w:styleId="En-tte">
    <w:name w:val="header"/>
    <w:basedOn w:val="Normal"/>
    <w:link w:val="En-tteCar"/>
    <w:uiPriority w:val="99"/>
    <w:unhideWhenUsed/>
    <w:rsid w:val="000F2A72"/>
    <w:pPr>
      <w:tabs>
        <w:tab w:val="center" w:pos="4536"/>
        <w:tab w:val="right" w:pos="9072"/>
      </w:tabs>
      <w:spacing w:after="0" w:line="240" w:lineRule="auto"/>
    </w:pPr>
  </w:style>
  <w:style w:type="character" w:customStyle="1" w:styleId="En-tteCar">
    <w:name w:val="En-tête Car"/>
    <w:basedOn w:val="Policepardfaut"/>
    <w:link w:val="En-tte"/>
    <w:uiPriority w:val="99"/>
    <w:rsid w:val="000F2A72"/>
  </w:style>
  <w:style w:type="paragraph" w:styleId="Pieddepage">
    <w:name w:val="footer"/>
    <w:basedOn w:val="Normal"/>
    <w:link w:val="PieddepageCar"/>
    <w:uiPriority w:val="99"/>
    <w:unhideWhenUsed/>
    <w:rsid w:val="000F2A7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2A72"/>
  </w:style>
  <w:style w:type="paragraph" w:styleId="Notedebasdepage">
    <w:name w:val="footnote text"/>
    <w:basedOn w:val="Normal"/>
    <w:link w:val="NotedebasdepageCar"/>
    <w:uiPriority w:val="99"/>
    <w:unhideWhenUsed/>
    <w:rsid w:val="00E57C45"/>
    <w:pPr>
      <w:spacing w:after="0" w:line="240" w:lineRule="auto"/>
    </w:pPr>
    <w:rPr>
      <w:sz w:val="20"/>
      <w:szCs w:val="20"/>
    </w:rPr>
  </w:style>
  <w:style w:type="character" w:customStyle="1" w:styleId="NotedebasdepageCar">
    <w:name w:val="Note de bas de page Car"/>
    <w:basedOn w:val="Policepardfaut"/>
    <w:link w:val="Notedebasdepage"/>
    <w:uiPriority w:val="99"/>
    <w:rsid w:val="00E57C45"/>
    <w:rPr>
      <w:sz w:val="20"/>
      <w:szCs w:val="20"/>
    </w:rPr>
  </w:style>
  <w:style w:type="character" w:styleId="Appelnotedebasdep">
    <w:name w:val="footnote reference"/>
    <w:basedOn w:val="Policepardfaut"/>
    <w:uiPriority w:val="99"/>
    <w:semiHidden/>
    <w:unhideWhenUsed/>
    <w:rsid w:val="00E57C45"/>
    <w:rPr>
      <w:vertAlign w:val="superscript"/>
    </w:rPr>
  </w:style>
  <w:style w:type="character" w:styleId="Lienhypertexte">
    <w:name w:val="Hyperlink"/>
    <w:basedOn w:val="Policepardfaut"/>
    <w:uiPriority w:val="99"/>
    <w:unhideWhenUsed/>
    <w:rsid w:val="00866FC7"/>
    <w:rPr>
      <w:color w:val="0000FF"/>
      <w:u w:val="single"/>
    </w:rPr>
  </w:style>
  <w:style w:type="character" w:styleId="Lienhypertextesuivivisit">
    <w:name w:val="FollowedHyperlink"/>
    <w:basedOn w:val="Policepardfaut"/>
    <w:uiPriority w:val="99"/>
    <w:semiHidden/>
    <w:unhideWhenUsed/>
    <w:rsid w:val="0045540A"/>
    <w:rPr>
      <w:color w:val="954F72" w:themeColor="followedHyperlink"/>
      <w:u w:val="single"/>
    </w:rPr>
  </w:style>
  <w:style w:type="paragraph" w:customStyle="1" w:styleId="Intituldirection">
    <w:name w:val="Intitulé direction"/>
    <w:basedOn w:val="En-tte"/>
    <w:next w:val="Corpsdetexte"/>
    <w:link w:val="IntituldirectionCar"/>
    <w:qFormat/>
    <w:rsid w:val="00122715"/>
    <w:pPr>
      <w:widowControl w:val="0"/>
      <w:tabs>
        <w:tab w:val="clear" w:pos="4536"/>
        <w:tab w:val="clear" w:pos="9072"/>
        <w:tab w:val="right" w:pos="9026"/>
      </w:tabs>
      <w:autoSpaceDE w:val="0"/>
      <w:autoSpaceDN w:val="0"/>
      <w:jc w:val="right"/>
    </w:pPr>
    <w:rPr>
      <w:rFonts w:ascii="Arial" w:eastAsiaTheme="minorEastAsia" w:hAnsi="Arial" w:cs="Arial"/>
      <w:b/>
      <w:bCs/>
      <w:sz w:val="24"/>
      <w:szCs w:val="24"/>
      <w:lang w:val="en-US"/>
    </w:rPr>
  </w:style>
  <w:style w:type="character" w:customStyle="1" w:styleId="IntituldirectionCar">
    <w:name w:val="Intitulé direction Car"/>
    <w:basedOn w:val="En-tteCar"/>
    <w:link w:val="Intituldirection"/>
    <w:qFormat/>
    <w:rsid w:val="00122715"/>
    <w:rPr>
      <w:rFonts w:ascii="Arial" w:eastAsiaTheme="minorEastAsia" w:hAnsi="Arial" w:cs="Arial"/>
      <w:b/>
      <w:bCs/>
      <w:sz w:val="24"/>
      <w:szCs w:val="24"/>
      <w:lang w:val="en-US"/>
    </w:rPr>
  </w:style>
  <w:style w:type="paragraph" w:styleId="Corpsdetexte">
    <w:name w:val="Body Text"/>
    <w:basedOn w:val="Normal"/>
    <w:link w:val="CorpsdetexteCar"/>
    <w:uiPriority w:val="99"/>
    <w:semiHidden/>
    <w:unhideWhenUsed/>
    <w:rsid w:val="00122715"/>
    <w:pPr>
      <w:spacing w:after="120"/>
    </w:pPr>
  </w:style>
  <w:style w:type="character" w:customStyle="1" w:styleId="CorpsdetexteCar">
    <w:name w:val="Corps de texte Car"/>
    <w:basedOn w:val="Policepardfaut"/>
    <w:link w:val="Corpsdetexte"/>
    <w:uiPriority w:val="99"/>
    <w:semiHidden/>
    <w:rsid w:val="00122715"/>
  </w:style>
  <w:style w:type="table" w:styleId="Grilledutableau">
    <w:name w:val="Table Grid"/>
    <w:basedOn w:val="TableauNormal"/>
    <w:uiPriority w:val="39"/>
    <w:rsid w:val="0012271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7410E"/>
    <w:rPr>
      <w:sz w:val="16"/>
      <w:szCs w:val="16"/>
    </w:rPr>
  </w:style>
  <w:style w:type="paragraph" w:styleId="Commentaire">
    <w:name w:val="annotation text"/>
    <w:basedOn w:val="Normal"/>
    <w:link w:val="CommentaireCar"/>
    <w:uiPriority w:val="99"/>
    <w:semiHidden/>
    <w:unhideWhenUsed/>
    <w:rsid w:val="0007410E"/>
    <w:pPr>
      <w:spacing w:line="240" w:lineRule="auto"/>
    </w:pPr>
    <w:rPr>
      <w:sz w:val="20"/>
      <w:szCs w:val="20"/>
    </w:rPr>
  </w:style>
  <w:style w:type="character" w:customStyle="1" w:styleId="CommentaireCar">
    <w:name w:val="Commentaire Car"/>
    <w:basedOn w:val="Policepardfaut"/>
    <w:link w:val="Commentaire"/>
    <w:uiPriority w:val="99"/>
    <w:semiHidden/>
    <w:rsid w:val="0007410E"/>
    <w:rPr>
      <w:sz w:val="20"/>
      <w:szCs w:val="20"/>
    </w:rPr>
  </w:style>
  <w:style w:type="paragraph" w:styleId="Objetducommentaire">
    <w:name w:val="annotation subject"/>
    <w:basedOn w:val="Commentaire"/>
    <w:next w:val="Commentaire"/>
    <w:link w:val="ObjetducommentaireCar"/>
    <w:uiPriority w:val="99"/>
    <w:semiHidden/>
    <w:unhideWhenUsed/>
    <w:rsid w:val="0007410E"/>
    <w:rPr>
      <w:b/>
      <w:bCs/>
    </w:rPr>
  </w:style>
  <w:style w:type="character" w:customStyle="1" w:styleId="ObjetducommentaireCar">
    <w:name w:val="Objet du commentaire Car"/>
    <w:basedOn w:val="CommentaireCar"/>
    <w:link w:val="Objetducommentaire"/>
    <w:uiPriority w:val="99"/>
    <w:semiHidden/>
    <w:rsid w:val="0007410E"/>
    <w:rPr>
      <w:b/>
      <w:bCs/>
      <w:sz w:val="20"/>
      <w:szCs w:val="20"/>
    </w:rPr>
  </w:style>
  <w:style w:type="paragraph" w:styleId="Textedebulles">
    <w:name w:val="Balloon Text"/>
    <w:basedOn w:val="Normal"/>
    <w:link w:val="TextedebullesCar"/>
    <w:uiPriority w:val="99"/>
    <w:semiHidden/>
    <w:unhideWhenUsed/>
    <w:rsid w:val="0007410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7410E"/>
    <w:rPr>
      <w:rFonts w:ascii="Segoe UI" w:hAnsi="Segoe UI" w:cs="Segoe UI"/>
      <w:sz w:val="18"/>
      <w:szCs w:val="18"/>
    </w:rPr>
  </w:style>
  <w:style w:type="paragraph" w:styleId="Rvision">
    <w:name w:val="Revision"/>
    <w:hidden/>
    <w:uiPriority w:val="99"/>
    <w:semiHidden/>
    <w:rsid w:val="009063CB"/>
    <w:pPr>
      <w:spacing w:after="0" w:line="240" w:lineRule="auto"/>
    </w:pPr>
  </w:style>
  <w:style w:type="paragraph" w:customStyle="1" w:styleId="Briefinglist1">
    <w:name w:val="Briefing list 1"/>
    <w:basedOn w:val="Normal"/>
    <w:rsid w:val="00E95A63"/>
    <w:pPr>
      <w:keepLines/>
      <w:numPr>
        <w:numId w:val="10"/>
      </w:numPr>
      <w:spacing w:after="120" w:line="240" w:lineRule="auto"/>
      <w:jc w:val="both"/>
    </w:pPr>
    <w:rPr>
      <w:rFonts w:ascii="Arial" w:eastAsia="SimSun" w:hAnsi="Arial" w:cs="Arial"/>
      <w:szCs w:val="24"/>
      <w:lang w:val="en-GB"/>
    </w:rPr>
  </w:style>
  <w:style w:type="paragraph" w:styleId="NormalWeb">
    <w:name w:val="Normal (Web)"/>
    <w:basedOn w:val="Normal"/>
    <w:uiPriority w:val="99"/>
    <w:unhideWhenUsed/>
    <w:rsid w:val="00E95A63"/>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styleId="Textebrut">
    <w:name w:val="Plain Text"/>
    <w:basedOn w:val="Normal"/>
    <w:link w:val="TextebrutCar"/>
    <w:uiPriority w:val="99"/>
    <w:unhideWhenUsed/>
    <w:rsid w:val="00E95A63"/>
    <w:pPr>
      <w:spacing w:after="0" w:line="240" w:lineRule="auto"/>
    </w:pPr>
    <w:rPr>
      <w:rFonts w:ascii="Calibri" w:eastAsiaTheme="minorEastAsia" w:hAnsi="Calibri" w:cs="Times New Roman"/>
      <w:lang w:eastAsia="ja-JP"/>
    </w:rPr>
  </w:style>
  <w:style w:type="character" w:customStyle="1" w:styleId="TextebrutCar">
    <w:name w:val="Texte brut Car"/>
    <w:basedOn w:val="Policepardfaut"/>
    <w:link w:val="Textebrut"/>
    <w:uiPriority w:val="99"/>
    <w:rsid w:val="00E95A63"/>
    <w:rPr>
      <w:rFonts w:ascii="Calibri" w:eastAsiaTheme="minorEastAsia" w:hAnsi="Calibri" w:cs="Times New Roman"/>
      <w:lang w:eastAsia="ja-JP"/>
    </w:rPr>
  </w:style>
  <w:style w:type="paragraph" w:customStyle="1" w:styleId="DecimalAligned">
    <w:name w:val="Decimal Aligned"/>
    <w:basedOn w:val="Normal"/>
    <w:uiPriority w:val="40"/>
    <w:qFormat/>
    <w:rsid w:val="003C73CA"/>
    <w:pPr>
      <w:tabs>
        <w:tab w:val="decimal" w:pos="360"/>
      </w:tabs>
      <w:spacing w:after="200" w:line="276" w:lineRule="auto"/>
    </w:pPr>
    <w:rPr>
      <w:rFonts w:eastAsiaTheme="minorEastAsia" w:cs="Times New Roman"/>
      <w:lang w:eastAsia="fr-FR"/>
    </w:rPr>
  </w:style>
  <w:style w:type="character" w:styleId="Accentuationlgre">
    <w:name w:val="Subtle Emphasis"/>
    <w:basedOn w:val="Policepardfaut"/>
    <w:uiPriority w:val="19"/>
    <w:qFormat/>
    <w:rsid w:val="003C73CA"/>
    <w:rPr>
      <w:i/>
      <w:iCs/>
    </w:rPr>
  </w:style>
  <w:style w:type="table" w:styleId="Tramemoyenne2-Accent5">
    <w:name w:val="Medium Shading 2 Accent 5"/>
    <w:basedOn w:val="TableauNormal"/>
    <w:uiPriority w:val="64"/>
    <w:rsid w:val="003C73CA"/>
    <w:pPr>
      <w:spacing w:after="0" w:line="240" w:lineRule="auto"/>
    </w:pPr>
    <w:rPr>
      <w:rFonts w:eastAsiaTheme="minorEastAsia"/>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auGrille3-Accentuation5">
    <w:name w:val="Grid Table 3 Accent 5"/>
    <w:basedOn w:val="TableauNormal"/>
    <w:uiPriority w:val="48"/>
    <w:rsid w:val="00887E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eauGrille3-Accentuation3">
    <w:name w:val="Grid Table 3 Accent 3"/>
    <w:basedOn w:val="TableauNormal"/>
    <w:uiPriority w:val="48"/>
    <w:rsid w:val="00887E1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Liste7Couleur">
    <w:name w:val="List Table 7 Colorful"/>
    <w:basedOn w:val="TableauNormal"/>
    <w:uiPriority w:val="52"/>
    <w:rsid w:val="00887E1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887E1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887E1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Grille1Clair-Accentuation3">
    <w:name w:val="Grid Table 1 Light Accent 3"/>
    <w:basedOn w:val="TableauNormal"/>
    <w:uiPriority w:val="46"/>
    <w:rsid w:val="00887E1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887E1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eausimple5">
    <w:name w:val="Plain Table 5"/>
    <w:basedOn w:val="TableauNormal"/>
    <w:uiPriority w:val="45"/>
    <w:rsid w:val="006940C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Grille3">
    <w:name w:val="Grid Table 3"/>
    <w:basedOn w:val="TableauNormal"/>
    <w:uiPriority w:val="48"/>
    <w:rsid w:val="006940C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simple3">
    <w:name w:val="Plain Table 3"/>
    <w:basedOn w:val="TableauNormal"/>
    <w:uiPriority w:val="43"/>
    <w:rsid w:val="006940C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Accentuation">
    <w:name w:val="Emphasis"/>
    <w:basedOn w:val="Policepardfaut"/>
    <w:uiPriority w:val="20"/>
    <w:qFormat/>
    <w:rsid w:val="00C877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66609">
      <w:bodyDiv w:val="1"/>
      <w:marLeft w:val="0"/>
      <w:marRight w:val="0"/>
      <w:marTop w:val="0"/>
      <w:marBottom w:val="0"/>
      <w:divBdr>
        <w:top w:val="none" w:sz="0" w:space="0" w:color="auto"/>
        <w:left w:val="none" w:sz="0" w:space="0" w:color="auto"/>
        <w:bottom w:val="none" w:sz="0" w:space="0" w:color="auto"/>
        <w:right w:val="none" w:sz="0" w:space="0" w:color="auto"/>
      </w:divBdr>
    </w:div>
    <w:div w:id="195243334">
      <w:bodyDiv w:val="1"/>
      <w:marLeft w:val="0"/>
      <w:marRight w:val="0"/>
      <w:marTop w:val="0"/>
      <w:marBottom w:val="0"/>
      <w:divBdr>
        <w:top w:val="none" w:sz="0" w:space="0" w:color="auto"/>
        <w:left w:val="none" w:sz="0" w:space="0" w:color="auto"/>
        <w:bottom w:val="none" w:sz="0" w:space="0" w:color="auto"/>
        <w:right w:val="none" w:sz="0" w:space="0" w:color="auto"/>
      </w:divBdr>
    </w:div>
    <w:div w:id="425228096">
      <w:bodyDiv w:val="1"/>
      <w:marLeft w:val="0"/>
      <w:marRight w:val="0"/>
      <w:marTop w:val="0"/>
      <w:marBottom w:val="0"/>
      <w:divBdr>
        <w:top w:val="none" w:sz="0" w:space="0" w:color="auto"/>
        <w:left w:val="none" w:sz="0" w:space="0" w:color="auto"/>
        <w:bottom w:val="none" w:sz="0" w:space="0" w:color="auto"/>
        <w:right w:val="none" w:sz="0" w:space="0" w:color="auto"/>
      </w:divBdr>
    </w:div>
    <w:div w:id="484590263">
      <w:bodyDiv w:val="1"/>
      <w:marLeft w:val="0"/>
      <w:marRight w:val="0"/>
      <w:marTop w:val="0"/>
      <w:marBottom w:val="0"/>
      <w:divBdr>
        <w:top w:val="none" w:sz="0" w:space="0" w:color="auto"/>
        <w:left w:val="none" w:sz="0" w:space="0" w:color="auto"/>
        <w:bottom w:val="none" w:sz="0" w:space="0" w:color="auto"/>
        <w:right w:val="none" w:sz="0" w:space="0" w:color="auto"/>
      </w:divBdr>
    </w:div>
    <w:div w:id="587422306">
      <w:bodyDiv w:val="1"/>
      <w:marLeft w:val="0"/>
      <w:marRight w:val="0"/>
      <w:marTop w:val="0"/>
      <w:marBottom w:val="0"/>
      <w:divBdr>
        <w:top w:val="none" w:sz="0" w:space="0" w:color="auto"/>
        <w:left w:val="none" w:sz="0" w:space="0" w:color="auto"/>
        <w:bottom w:val="none" w:sz="0" w:space="0" w:color="auto"/>
        <w:right w:val="none" w:sz="0" w:space="0" w:color="auto"/>
      </w:divBdr>
    </w:div>
    <w:div w:id="587496405">
      <w:bodyDiv w:val="1"/>
      <w:marLeft w:val="0"/>
      <w:marRight w:val="0"/>
      <w:marTop w:val="0"/>
      <w:marBottom w:val="0"/>
      <w:divBdr>
        <w:top w:val="none" w:sz="0" w:space="0" w:color="auto"/>
        <w:left w:val="none" w:sz="0" w:space="0" w:color="auto"/>
        <w:bottom w:val="none" w:sz="0" w:space="0" w:color="auto"/>
        <w:right w:val="none" w:sz="0" w:space="0" w:color="auto"/>
      </w:divBdr>
    </w:div>
    <w:div w:id="660962055">
      <w:bodyDiv w:val="1"/>
      <w:marLeft w:val="0"/>
      <w:marRight w:val="0"/>
      <w:marTop w:val="0"/>
      <w:marBottom w:val="0"/>
      <w:divBdr>
        <w:top w:val="none" w:sz="0" w:space="0" w:color="auto"/>
        <w:left w:val="none" w:sz="0" w:space="0" w:color="auto"/>
        <w:bottom w:val="none" w:sz="0" w:space="0" w:color="auto"/>
        <w:right w:val="none" w:sz="0" w:space="0" w:color="auto"/>
      </w:divBdr>
    </w:div>
    <w:div w:id="1930962827">
      <w:bodyDiv w:val="1"/>
      <w:marLeft w:val="0"/>
      <w:marRight w:val="0"/>
      <w:marTop w:val="0"/>
      <w:marBottom w:val="0"/>
      <w:divBdr>
        <w:top w:val="none" w:sz="0" w:space="0" w:color="auto"/>
        <w:left w:val="none" w:sz="0" w:space="0" w:color="auto"/>
        <w:bottom w:val="none" w:sz="0" w:space="0" w:color="auto"/>
        <w:right w:val="none" w:sz="0" w:space="0" w:color="auto"/>
      </w:divBdr>
    </w:div>
    <w:div w:id="205241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fr-FR" sz="1400" b="1"/>
              <a:t>Volume des transactions de crypto-actifs (en Mds ¥)</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manualLayout>
          <c:layoutTarget val="inner"/>
          <c:xMode val="edge"/>
          <c:yMode val="edge"/>
          <c:x val="8.2868545070487146E-2"/>
          <c:y val="9.3177528519117064E-2"/>
          <c:w val="0.89612104522652369"/>
          <c:h val="0.71762238435791859"/>
        </c:manualLayout>
      </c:layout>
      <c:barChart>
        <c:barDir val="col"/>
        <c:grouping val="clustered"/>
        <c:varyColors val="0"/>
        <c:ser>
          <c:idx val="0"/>
          <c:order val="0"/>
          <c:tx>
            <c:strRef>
              <c:f>Feuil1!$A$56</c:f>
              <c:strCache>
                <c:ptCount val="1"/>
                <c:pt idx="0">
                  <c:v>Opérations au comptant</c:v>
                </c:pt>
              </c:strCache>
            </c:strRef>
          </c:tx>
          <c:spPr>
            <a:solidFill>
              <a:schemeClr val="accent1"/>
            </a:solidFill>
            <a:ln>
              <a:noFill/>
            </a:ln>
            <a:effectLst/>
          </c:spPr>
          <c:invertIfNegative val="0"/>
          <c:cat>
            <c:numRef>
              <c:f>Feuil1!$B$55:$AB$55</c:f>
              <c:numCache>
                <c:formatCode>mmm\-yy</c:formatCode>
                <c:ptCount val="27"/>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pt idx="12">
                  <c:v>44562</c:v>
                </c:pt>
                <c:pt idx="13">
                  <c:v>44593</c:v>
                </c:pt>
                <c:pt idx="14">
                  <c:v>44621</c:v>
                </c:pt>
                <c:pt idx="15">
                  <c:v>44652</c:v>
                </c:pt>
                <c:pt idx="16">
                  <c:v>44682</c:v>
                </c:pt>
                <c:pt idx="17">
                  <c:v>44713</c:v>
                </c:pt>
                <c:pt idx="18">
                  <c:v>44743</c:v>
                </c:pt>
                <c:pt idx="19">
                  <c:v>44774</c:v>
                </c:pt>
                <c:pt idx="20">
                  <c:v>44805</c:v>
                </c:pt>
                <c:pt idx="21">
                  <c:v>44835</c:v>
                </c:pt>
                <c:pt idx="22">
                  <c:v>44866</c:v>
                </c:pt>
                <c:pt idx="23">
                  <c:v>44896</c:v>
                </c:pt>
                <c:pt idx="24">
                  <c:v>44927</c:v>
                </c:pt>
                <c:pt idx="25">
                  <c:v>44958</c:v>
                </c:pt>
                <c:pt idx="26">
                  <c:v>44986</c:v>
                </c:pt>
              </c:numCache>
            </c:numRef>
          </c:cat>
          <c:val>
            <c:numRef>
              <c:f>Feuil1!$B$56:$AB$56</c:f>
              <c:numCache>
                <c:formatCode>#,##0</c:formatCode>
                <c:ptCount val="27"/>
                <c:pt idx="0">
                  <c:v>3869</c:v>
                </c:pt>
                <c:pt idx="1">
                  <c:v>4171</c:v>
                </c:pt>
                <c:pt idx="2">
                  <c:v>3419</c:v>
                </c:pt>
                <c:pt idx="3">
                  <c:v>4183</c:v>
                </c:pt>
                <c:pt idx="4">
                  <c:v>5158</c:v>
                </c:pt>
                <c:pt idx="5">
                  <c:v>2317</c:v>
                </c:pt>
                <c:pt idx="6">
                  <c:v>1516.9670000000001</c:v>
                </c:pt>
                <c:pt idx="7">
                  <c:v>2459.134</c:v>
                </c:pt>
                <c:pt idx="8">
                  <c:v>2053.3440000000001</c:v>
                </c:pt>
                <c:pt idx="9">
                  <c:v>2582.5830000000001</c:v>
                </c:pt>
                <c:pt idx="10">
                  <c:v>2339.3739999999998</c:v>
                </c:pt>
                <c:pt idx="11">
                  <c:v>1897.425</c:v>
                </c:pt>
                <c:pt idx="12">
                  <c:v>1370.8420000000001</c:v>
                </c:pt>
                <c:pt idx="13">
                  <c:v>1284.829</c:v>
                </c:pt>
                <c:pt idx="14">
                  <c:v>1345.298</c:v>
                </c:pt>
                <c:pt idx="15">
                  <c:v>1023.745</c:v>
                </c:pt>
                <c:pt idx="16">
                  <c:v>1387.7380000000001</c:v>
                </c:pt>
                <c:pt idx="17">
                  <c:v>1154.713</c:v>
                </c:pt>
                <c:pt idx="18">
                  <c:v>1071.4849999999999</c:v>
                </c:pt>
                <c:pt idx="19">
                  <c:v>866</c:v>
                </c:pt>
                <c:pt idx="20">
                  <c:v>794</c:v>
                </c:pt>
                <c:pt idx="21">
                  <c:v>574</c:v>
                </c:pt>
                <c:pt idx="22">
                  <c:v>757</c:v>
                </c:pt>
                <c:pt idx="23">
                  <c:v>344</c:v>
                </c:pt>
                <c:pt idx="24">
                  <c:v>507</c:v>
                </c:pt>
                <c:pt idx="25">
                  <c:v>614</c:v>
                </c:pt>
                <c:pt idx="26">
                  <c:v>922</c:v>
                </c:pt>
              </c:numCache>
            </c:numRef>
          </c:val>
          <c:extLst>
            <c:ext xmlns:c16="http://schemas.microsoft.com/office/drawing/2014/chart" uri="{C3380CC4-5D6E-409C-BE32-E72D297353CC}">
              <c16:uniqueId val="{00000000-C5E7-432B-8CD2-9B8067C4D7DC}"/>
            </c:ext>
          </c:extLst>
        </c:ser>
        <c:ser>
          <c:idx val="1"/>
          <c:order val="1"/>
          <c:tx>
            <c:strRef>
              <c:f>Feuil1!$A$57</c:f>
              <c:strCache>
                <c:ptCount val="1"/>
                <c:pt idx="0">
                  <c:v>Opérations sur marges</c:v>
                </c:pt>
              </c:strCache>
            </c:strRef>
          </c:tx>
          <c:spPr>
            <a:solidFill>
              <a:schemeClr val="accent2"/>
            </a:solidFill>
            <a:ln>
              <a:noFill/>
            </a:ln>
            <a:effectLst/>
          </c:spPr>
          <c:invertIfNegative val="0"/>
          <c:cat>
            <c:numRef>
              <c:f>Feuil1!$B$55:$AB$55</c:f>
              <c:numCache>
                <c:formatCode>mmm\-yy</c:formatCode>
                <c:ptCount val="27"/>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pt idx="12">
                  <c:v>44562</c:v>
                </c:pt>
                <c:pt idx="13">
                  <c:v>44593</c:v>
                </c:pt>
                <c:pt idx="14">
                  <c:v>44621</c:v>
                </c:pt>
                <c:pt idx="15">
                  <c:v>44652</c:v>
                </c:pt>
                <c:pt idx="16">
                  <c:v>44682</c:v>
                </c:pt>
                <c:pt idx="17">
                  <c:v>44713</c:v>
                </c:pt>
                <c:pt idx="18">
                  <c:v>44743</c:v>
                </c:pt>
                <c:pt idx="19">
                  <c:v>44774</c:v>
                </c:pt>
                <c:pt idx="20">
                  <c:v>44805</c:v>
                </c:pt>
                <c:pt idx="21">
                  <c:v>44835</c:v>
                </c:pt>
                <c:pt idx="22">
                  <c:v>44866</c:v>
                </c:pt>
                <c:pt idx="23">
                  <c:v>44896</c:v>
                </c:pt>
                <c:pt idx="24">
                  <c:v>44927</c:v>
                </c:pt>
                <c:pt idx="25">
                  <c:v>44958</c:v>
                </c:pt>
                <c:pt idx="26">
                  <c:v>44986</c:v>
                </c:pt>
              </c:numCache>
            </c:numRef>
          </c:cat>
          <c:val>
            <c:numRef>
              <c:f>Feuil1!$B$57:$AB$57</c:f>
              <c:numCache>
                <c:formatCode>#,##0</c:formatCode>
                <c:ptCount val="27"/>
                <c:pt idx="0">
                  <c:v>20357</c:v>
                </c:pt>
                <c:pt idx="1">
                  <c:v>13071</c:v>
                </c:pt>
                <c:pt idx="2">
                  <c:v>6756</c:v>
                </c:pt>
                <c:pt idx="3">
                  <c:v>4056</c:v>
                </c:pt>
                <c:pt idx="4">
                  <c:v>5254</c:v>
                </c:pt>
                <c:pt idx="5">
                  <c:v>3937</c:v>
                </c:pt>
                <c:pt idx="6">
                  <c:v>2649.2</c:v>
                </c:pt>
                <c:pt idx="7">
                  <c:v>3619.5</c:v>
                </c:pt>
                <c:pt idx="8">
                  <c:v>3305.5</c:v>
                </c:pt>
                <c:pt idx="9">
                  <c:v>3459.8</c:v>
                </c:pt>
                <c:pt idx="10">
                  <c:v>2516</c:v>
                </c:pt>
                <c:pt idx="11">
                  <c:v>2704.7</c:v>
                </c:pt>
                <c:pt idx="12">
                  <c:v>1798.4</c:v>
                </c:pt>
                <c:pt idx="13">
                  <c:v>1990.6</c:v>
                </c:pt>
                <c:pt idx="14">
                  <c:v>1888.5</c:v>
                </c:pt>
                <c:pt idx="15">
                  <c:v>1492.6</c:v>
                </c:pt>
                <c:pt idx="16">
                  <c:v>1962.7</c:v>
                </c:pt>
                <c:pt idx="17">
                  <c:v>1897</c:v>
                </c:pt>
                <c:pt idx="18">
                  <c:v>1750.3</c:v>
                </c:pt>
                <c:pt idx="19">
                  <c:v>1507</c:v>
                </c:pt>
                <c:pt idx="20">
                  <c:v>1405</c:v>
                </c:pt>
                <c:pt idx="21">
                  <c:v>967</c:v>
                </c:pt>
                <c:pt idx="22">
                  <c:v>875</c:v>
                </c:pt>
                <c:pt idx="23">
                  <c:v>434</c:v>
                </c:pt>
                <c:pt idx="24">
                  <c:v>709</c:v>
                </c:pt>
                <c:pt idx="25">
                  <c:v>820</c:v>
                </c:pt>
                <c:pt idx="26">
                  <c:v>1096</c:v>
                </c:pt>
              </c:numCache>
            </c:numRef>
          </c:val>
          <c:extLst>
            <c:ext xmlns:c16="http://schemas.microsoft.com/office/drawing/2014/chart" uri="{C3380CC4-5D6E-409C-BE32-E72D297353CC}">
              <c16:uniqueId val="{00000001-C5E7-432B-8CD2-9B8067C4D7DC}"/>
            </c:ext>
          </c:extLst>
        </c:ser>
        <c:dLbls>
          <c:showLegendKey val="0"/>
          <c:showVal val="0"/>
          <c:showCatName val="0"/>
          <c:showSerName val="0"/>
          <c:showPercent val="0"/>
          <c:showBubbleSize val="0"/>
        </c:dLbls>
        <c:gapWidth val="219"/>
        <c:overlap val="-27"/>
        <c:axId val="1118327631"/>
        <c:axId val="1118311823"/>
      </c:barChart>
      <c:lineChart>
        <c:grouping val="standard"/>
        <c:varyColors val="0"/>
        <c:ser>
          <c:idx val="2"/>
          <c:order val="2"/>
          <c:tx>
            <c:strRef>
              <c:f>Feuil1!$A$58</c:f>
              <c:strCache>
                <c:ptCount val="1"/>
                <c:pt idx="0">
                  <c:v>Total mensuel</c:v>
                </c:pt>
              </c:strCache>
            </c:strRef>
          </c:tx>
          <c:spPr>
            <a:ln w="28575" cap="rnd">
              <a:solidFill>
                <a:schemeClr val="accent3"/>
              </a:solidFill>
              <a:round/>
            </a:ln>
            <a:effectLst/>
          </c:spPr>
          <c:marker>
            <c:symbol val="none"/>
          </c:marker>
          <c:cat>
            <c:numRef>
              <c:f>Feuil1!$B$55:$AB$55</c:f>
              <c:numCache>
                <c:formatCode>mmm\-yy</c:formatCode>
                <c:ptCount val="27"/>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pt idx="12">
                  <c:v>44562</c:v>
                </c:pt>
                <c:pt idx="13">
                  <c:v>44593</c:v>
                </c:pt>
                <c:pt idx="14">
                  <c:v>44621</c:v>
                </c:pt>
                <c:pt idx="15">
                  <c:v>44652</c:v>
                </c:pt>
                <c:pt idx="16">
                  <c:v>44682</c:v>
                </c:pt>
                <c:pt idx="17">
                  <c:v>44713</c:v>
                </c:pt>
                <c:pt idx="18">
                  <c:v>44743</c:v>
                </c:pt>
                <c:pt idx="19">
                  <c:v>44774</c:v>
                </c:pt>
                <c:pt idx="20">
                  <c:v>44805</c:v>
                </c:pt>
                <c:pt idx="21">
                  <c:v>44835</c:v>
                </c:pt>
                <c:pt idx="22">
                  <c:v>44866</c:v>
                </c:pt>
                <c:pt idx="23">
                  <c:v>44896</c:v>
                </c:pt>
                <c:pt idx="24">
                  <c:v>44927</c:v>
                </c:pt>
                <c:pt idx="25">
                  <c:v>44958</c:v>
                </c:pt>
                <c:pt idx="26">
                  <c:v>44986</c:v>
                </c:pt>
              </c:numCache>
            </c:numRef>
          </c:cat>
          <c:val>
            <c:numRef>
              <c:f>Feuil1!$B$58:$AB$58</c:f>
              <c:numCache>
                <c:formatCode>#,##0</c:formatCode>
                <c:ptCount val="27"/>
                <c:pt idx="0">
                  <c:v>24226</c:v>
                </c:pt>
                <c:pt idx="1">
                  <c:v>17242</c:v>
                </c:pt>
                <c:pt idx="2">
                  <c:v>10175</c:v>
                </c:pt>
                <c:pt idx="3">
                  <c:v>8239</c:v>
                </c:pt>
                <c:pt idx="4">
                  <c:v>10412</c:v>
                </c:pt>
                <c:pt idx="5">
                  <c:v>6254</c:v>
                </c:pt>
                <c:pt idx="6">
                  <c:v>4166.1669999999995</c:v>
                </c:pt>
                <c:pt idx="7">
                  <c:v>6078.634</c:v>
                </c:pt>
                <c:pt idx="8">
                  <c:v>5358.8440000000001</c:v>
                </c:pt>
                <c:pt idx="9">
                  <c:v>6042.3829999999998</c:v>
                </c:pt>
                <c:pt idx="10">
                  <c:v>4855.3739999999998</c:v>
                </c:pt>
                <c:pt idx="11">
                  <c:v>4602.125</c:v>
                </c:pt>
                <c:pt idx="12">
                  <c:v>3169.2420000000002</c:v>
                </c:pt>
                <c:pt idx="13">
                  <c:v>3275.4290000000001</c:v>
                </c:pt>
                <c:pt idx="14">
                  <c:v>3233.7979999999998</c:v>
                </c:pt>
                <c:pt idx="15">
                  <c:v>2516.3449999999998</c:v>
                </c:pt>
                <c:pt idx="16">
                  <c:v>3350.4380000000001</c:v>
                </c:pt>
                <c:pt idx="17">
                  <c:v>3051.7129999999997</c:v>
                </c:pt>
                <c:pt idx="18">
                  <c:v>2821.7849999999999</c:v>
                </c:pt>
                <c:pt idx="19">
                  <c:v>2373</c:v>
                </c:pt>
                <c:pt idx="20">
                  <c:v>2199</c:v>
                </c:pt>
                <c:pt idx="21">
                  <c:v>1541</c:v>
                </c:pt>
                <c:pt idx="22">
                  <c:v>1632</c:v>
                </c:pt>
                <c:pt idx="23">
                  <c:v>778</c:v>
                </c:pt>
                <c:pt idx="24">
                  <c:v>1216</c:v>
                </c:pt>
                <c:pt idx="25">
                  <c:v>1434</c:v>
                </c:pt>
                <c:pt idx="26">
                  <c:v>2018</c:v>
                </c:pt>
              </c:numCache>
            </c:numRef>
          </c:val>
          <c:smooth val="0"/>
          <c:extLst>
            <c:ext xmlns:c16="http://schemas.microsoft.com/office/drawing/2014/chart" uri="{C3380CC4-5D6E-409C-BE32-E72D297353CC}">
              <c16:uniqueId val="{00000002-C5E7-432B-8CD2-9B8067C4D7DC}"/>
            </c:ext>
          </c:extLst>
        </c:ser>
        <c:dLbls>
          <c:showLegendKey val="0"/>
          <c:showVal val="0"/>
          <c:showCatName val="0"/>
          <c:showSerName val="0"/>
          <c:showPercent val="0"/>
          <c:showBubbleSize val="0"/>
        </c:dLbls>
        <c:marker val="1"/>
        <c:smooth val="0"/>
        <c:axId val="1118327631"/>
        <c:axId val="1118311823"/>
      </c:lineChart>
      <c:dateAx>
        <c:axId val="1118327631"/>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fr-FR"/>
          </a:p>
        </c:txPr>
        <c:crossAx val="1118311823"/>
        <c:crosses val="autoZero"/>
        <c:auto val="1"/>
        <c:lblOffset val="100"/>
        <c:baseTimeUnit val="months"/>
      </c:dateAx>
      <c:valAx>
        <c:axId val="1118311823"/>
        <c:scaling>
          <c:orientation val="minMax"/>
          <c:max val="25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1118327631"/>
        <c:crosses val="autoZero"/>
        <c:crossBetween val="between"/>
      </c:valAx>
      <c:spPr>
        <a:noFill/>
        <a:ln>
          <a:noFill/>
        </a:ln>
        <a:effectLst/>
      </c:spPr>
    </c:plotArea>
    <c:legend>
      <c:legendPos val="b"/>
      <c:layout>
        <c:manualLayout>
          <c:xMode val="edge"/>
          <c:yMode val="edge"/>
          <c:x val="0.13211983302965746"/>
          <c:y val="0.94228243413397139"/>
          <c:w val="0.73576033394068507"/>
          <c:h val="5.7717565866028636E-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fr-FR" sz="1100" b="1"/>
              <a:t>Progression des ouvertures</a:t>
            </a:r>
            <a:r>
              <a:rPr lang="fr-FR" sz="1100" b="1" baseline="0"/>
              <a:t> de comptes de crypto-actifs au Japon (en millions)</a:t>
            </a:r>
            <a:endParaRPr lang="fr-FR" sz="1100" b="1"/>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manualLayout>
          <c:layoutTarget val="inner"/>
          <c:xMode val="edge"/>
          <c:yMode val="edge"/>
          <c:x val="0.14549041307543389"/>
          <c:y val="0.21871645274212367"/>
          <c:w val="0.78144141851842197"/>
          <c:h val="0.53249085061550416"/>
        </c:manualLayout>
      </c:layout>
      <c:areaChart>
        <c:grouping val="standard"/>
        <c:varyColors val="0"/>
        <c:ser>
          <c:idx val="0"/>
          <c:order val="0"/>
          <c:tx>
            <c:strRef>
              <c:f>Feuil1!$A$86</c:f>
              <c:strCache>
                <c:ptCount val="1"/>
                <c:pt idx="0">
                  <c:v>Comptes ouverts (en millions)</c:v>
                </c:pt>
              </c:strCache>
            </c:strRef>
          </c:tx>
          <c:spPr>
            <a:solidFill>
              <a:srgbClr val="CCCCFF"/>
            </a:solidFill>
            <a:ln>
              <a:noFill/>
            </a:ln>
            <a:effectLst/>
          </c:spPr>
          <c:cat>
            <c:numRef>
              <c:f>Feuil1!$H$85:$AB$85</c:f>
              <c:numCache>
                <c:formatCode>mmm\-yy</c:formatCode>
                <c:ptCount val="21"/>
                <c:pt idx="0">
                  <c:v>44378</c:v>
                </c:pt>
                <c:pt idx="1">
                  <c:v>44409</c:v>
                </c:pt>
                <c:pt idx="2">
                  <c:v>44440</c:v>
                </c:pt>
                <c:pt idx="3">
                  <c:v>44470</c:v>
                </c:pt>
                <c:pt idx="4">
                  <c:v>44501</c:v>
                </c:pt>
                <c:pt idx="5">
                  <c:v>44531</c:v>
                </c:pt>
                <c:pt idx="6">
                  <c:v>44562</c:v>
                </c:pt>
                <c:pt idx="7">
                  <c:v>44593</c:v>
                </c:pt>
                <c:pt idx="8">
                  <c:v>44621</c:v>
                </c:pt>
                <c:pt idx="9">
                  <c:v>44652</c:v>
                </c:pt>
                <c:pt idx="10">
                  <c:v>44682</c:v>
                </c:pt>
                <c:pt idx="11">
                  <c:v>44713</c:v>
                </c:pt>
                <c:pt idx="12">
                  <c:v>44743</c:v>
                </c:pt>
                <c:pt idx="13">
                  <c:v>44774</c:v>
                </c:pt>
                <c:pt idx="14">
                  <c:v>44805</c:v>
                </c:pt>
                <c:pt idx="15">
                  <c:v>44835</c:v>
                </c:pt>
                <c:pt idx="16">
                  <c:v>44866</c:v>
                </c:pt>
                <c:pt idx="17">
                  <c:v>44896</c:v>
                </c:pt>
                <c:pt idx="18">
                  <c:v>44927</c:v>
                </c:pt>
                <c:pt idx="19">
                  <c:v>44958</c:v>
                </c:pt>
                <c:pt idx="20">
                  <c:v>44986</c:v>
                </c:pt>
              </c:numCache>
            </c:numRef>
          </c:cat>
          <c:val>
            <c:numRef>
              <c:f>Feuil1!$H$86:$AB$86</c:f>
              <c:numCache>
                <c:formatCode>#\ ##0.000</c:formatCode>
                <c:ptCount val="21"/>
                <c:pt idx="0">
                  <c:v>4.8739999999999997</c:v>
                </c:pt>
                <c:pt idx="1">
                  <c:v>4.9770000000000003</c:v>
                </c:pt>
                <c:pt idx="2">
                  <c:v>5.0910000000000002</c:v>
                </c:pt>
                <c:pt idx="3">
                  <c:v>5.2080000000000002</c:v>
                </c:pt>
                <c:pt idx="4">
                  <c:v>5.359</c:v>
                </c:pt>
                <c:pt idx="5">
                  <c:v>5.4770000000000003</c:v>
                </c:pt>
                <c:pt idx="6">
                  <c:v>5.6150000000000002</c:v>
                </c:pt>
                <c:pt idx="7">
                  <c:v>5.7370000000000001</c:v>
                </c:pt>
                <c:pt idx="8">
                  <c:v>5.8579999999999997</c:v>
                </c:pt>
                <c:pt idx="9">
                  <c:v>5.9669999999999996</c:v>
                </c:pt>
                <c:pt idx="10">
                  <c:v>6.1059999999999999</c:v>
                </c:pt>
                <c:pt idx="11">
                  <c:v>6.2930000000000001</c:v>
                </c:pt>
                <c:pt idx="12">
                  <c:v>6.2290000000000001</c:v>
                </c:pt>
                <c:pt idx="13">
                  <c:v>6.2969999999999997</c:v>
                </c:pt>
                <c:pt idx="14">
                  <c:v>6.3789999999999996</c:v>
                </c:pt>
                <c:pt idx="15">
                  <c:v>6.4470000000000001</c:v>
                </c:pt>
                <c:pt idx="16">
                  <c:v>6.3639999999999999</c:v>
                </c:pt>
                <c:pt idx="17">
                  <c:v>6.399</c:v>
                </c:pt>
                <c:pt idx="18">
                  <c:v>6.4619999999999997</c:v>
                </c:pt>
                <c:pt idx="19">
                  <c:v>6.62</c:v>
                </c:pt>
                <c:pt idx="20">
                  <c:v>6.806</c:v>
                </c:pt>
              </c:numCache>
            </c:numRef>
          </c:val>
          <c:extLst>
            <c:ext xmlns:c16="http://schemas.microsoft.com/office/drawing/2014/chart" uri="{C3380CC4-5D6E-409C-BE32-E72D297353CC}">
              <c16:uniqueId val="{00000000-E329-40F3-9A7E-2A6AD8BCBF46}"/>
            </c:ext>
          </c:extLst>
        </c:ser>
        <c:ser>
          <c:idx val="1"/>
          <c:order val="1"/>
          <c:tx>
            <c:strRef>
              <c:f>Feuil1!$A$87</c:f>
              <c:strCache>
                <c:ptCount val="1"/>
                <c:pt idx="0">
                  <c:v>Comptes actifs (en millions)</c:v>
                </c:pt>
              </c:strCache>
            </c:strRef>
          </c:tx>
          <c:spPr>
            <a:solidFill>
              <a:srgbClr val="CC99FF"/>
            </a:solidFill>
            <a:ln>
              <a:noFill/>
            </a:ln>
            <a:effectLst/>
          </c:spPr>
          <c:cat>
            <c:numRef>
              <c:f>Feuil1!$H$85:$AB$85</c:f>
              <c:numCache>
                <c:formatCode>mmm\-yy</c:formatCode>
                <c:ptCount val="21"/>
                <c:pt idx="0">
                  <c:v>44378</c:v>
                </c:pt>
                <c:pt idx="1">
                  <c:v>44409</c:v>
                </c:pt>
                <c:pt idx="2">
                  <c:v>44440</c:v>
                </c:pt>
                <c:pt idx="3">
                  <c:v>44470</c:v>
                </c:pt>
                <c:pt idx="4">
                  <c:v>44501</c:v>
                </c:pt>
                <c:pt idx="5">
                  <c:v>44531</c:v>
                </c:pt>
                <c:pt idx="6">
                  <c:v>44562</c:v>
                </c:pt>
                <c:pt idx="7">
                  <c:v>44593</c:v>
                </c:pt>
                <c:pt idx="8">
                  <c:v>44621</c:v>
                </c:pt>
                <c:pt idx="9">
                  <c:v>44652</c:v>
                </c:pt>
                <c:pt idx="10">
                  <c:v>44682</c:v>
                </c:pt>
                <c:pt idx="11">
                  <c:v>44713</c:v>
                </c:pt>
                <c:pt idx="12">
                  <c:v>44743</c:v>
                </c:pt>
                <c:pt idx="13">
                  <c:v>44774</c:v>
                </c:pt>
                <c:pt idx="14">
                  <c:v>44805</c:v>
                </c:pt>
                <c:pt idx="15">
                  <c:v>44835</c:v>
                </c:pt>
                <c:pt idx="16">
                  <c:v>44866</c:v>
                </c:pt>
                <c:pt idx="17">
                  <c:v>44896</c:v>
                </c:pt>
                <c:pt idx="18">
                  <c:v>44927</c:v>
                </c:pt>
                <c:pt idx="19">
                  <c:v>44958</c:v>
                </c:pt>
                <c:pt idx="20">
                  <c:v>44986</c:v>
                </c:pt>
              </c:numCache>
            </c:numRef>
          </c:cat>
          <c:val>
            <c:numRef>
              <c:f>Feuil1!$H$87:$AB$87</c:f>
              <c:numCache>
                <c:formatCode>#\ ##0.000</c:formatCode>
                <c:ptCount val="21"/>
                <c:pt idx="0">
                  <c:v>2.83</c:v>
                </c:pt>
                <c:pt idx="1">
                  <c:v>2.8740000000000001</c:v>
                </c:pt>
                <c:pt idx="2">
                  <c:v>2.9470000000000001</c:v>
                </c:pt>
                <c:pt idx="3">
                  <c:v>3.0329999999999999</c:v>
                </c:pt>
                <c:pt idx="4">
                  <c:v>3.1219999999999999</c:v>
                </c:pt>
                <c:pt idx="5">
                  <c:v>3.2109999999999999</c:v>
                </c:pt>
                <c:pt idx="6">
                  <c:v>3.2610000000000001</c:v>
                </c:pt>
                <c:pt idx="7">
                  <c:v>3.3079999999999998</c:v>
                </c:pt>
                <c:pt idx="8">
                  <c:v>3.3769999999999998</c:v>
                </c:pt>
                <c:pt idx="9">
                  <c:v>3.4319999999999999</c:v>
                </c:pt>
                <c:pt idx="10">
                  <c:v>3.5129999999999999</c:v>
                </c:pt>
                <c:pt idx="11">
                  <c:v>3.585</c:v>
                </c:pt>
                <c:pt idx="12">
                  <c:v>3.5859999999999999</c:v>
                </c:pt>
                <c:pt idx="13">
                  <c:v>3.5619999999999998</c:v>
                </c:pt>
                <c:pt idx="14">
                  <c:v>3.7120000000000002</c:v>
                </c:pt>
                <c:pt idx="15">
                  <c:v>3.7429999999999999</c:v>
                </c:pt>
                <c:pt idx="16">
                  <c:v>3.7189999999999999</c:v>
                </c:pt>
                <c:pt idx="17">
                  <c:v>3.7160000000000002</c:v>
                </c:pt>
                <c:pt idx="18">
                  <c:v>3.7770000000000001</c:v>
                </c:pt>
                <c:pt idx="19">
                  <c:v>3.847</c:v>
                </c:pt>
                <c:pt idx="20">
                  <c:v>3.9670000000000001</c:v>
                </c:pt>
              </c:numCache>
            </c:numRef>
          </c:val>
          <c:extLst>
            <c:ext xmlns:c16="http://schemas.microsoft.com/office/drawing/2014/chart" uri="{C3380CC4-5D6E-409C-BE32-E72D297353CC}">
              <c16:uniqueId val="{00000001-E329-40F3-9A7E-2A6AD8BCBF46}"/>
            </c:ext>
          </c:extLst>
        </c:ser>
        <c:dLbls>
          <c:showLegendKey val="0"/>
          <c:showVal val="0"/>
          <c:showCatName val="0"/>
          <c:showSerName val="0"/>
          <c:showPercent val="0"/>
          <c:showBubbleSize val="0"/>
        </c:dLbls>
        <c:axId val="1351401695"/>
        <c:axId val="1351402111"/>
      </c:areaChart>
      <c:dateAx>
        <c:axId val="1351401695"/>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51402111"/>
        <c:crosses val="autoZero"/>
        <c:auto val="1"/>
        <c:lblOffset val="100"/>
        <c:baseTimeUnit val="months"/>
      </c:dateAx>
      <c:valAx>
        <c:axId val="1351402111"/>
        <c:scaling>
          <c:orientation val="minMax"/>
        </c:scaling>
        <c:delete val="0"/>
        <c:axPos val="l"/>
        <c:majorGridlines>
          <c:spPr>
            <a:ln w="9525" cap="flat" cmpd="sng" algn="ctr">
              <a:solidFill>
                <a:schemeClr val="tx1">
                  <a:lumMod val="15000"/>
                  <a:lumOff val="85000"/>
                </a:schemeClr>
              </a:solidFill>
              <a:round/>
            </a:ln>
            <a:effectLst/>
          </c:spPr>
        </c:majorGridlines>
        <c:numFmt formatCode="#\ ##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51401695"/>
        <c:crosses val="autoZero"/>
        <c:crossBetween val="midCat"/>
      </c:valAx>
      <c:spPr>
        <a:noFill/>
        <a:ln>
          <a:noFill/>
        </a:ln>
        <a:effectLst/>
      </c:spPr>
    </c:plotArea>
    <c:legend>
      <c:legendPos val="b"/>
      <c:layout>
        <c:manualLayout>
          <c:xMode val="edge"/>
          <c:yMode val="edge"/>
          <c:x val="5.0000076640215572E-2"/>
          <c:y val="0.90924032439585567"/>
          <c:w val="0.8999998467195689"/>
          <c:h val="8.56822447841392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b="1"/>
              <a:t>Valeur</a:t>
            </a:r>
            <a:r>
              <a:rPr lang="en-US" sz="1100" b="1" baseline="0"/>
              <a:t> semestrielle des transactions sur le marché japonais (en Mds de yens)</a:t>
            </a:r>
            <a:endParaRPr lang="en-US" sz="1100" b="1"/>
          </a:p>
        </c:rich>
      </c:tx>
      <c:layout>
        <c:manualLayout>
          <c:xMode val="edge"/>
          <c:yMode val="edge"/>
          <c:x val="0.1552522648549951"/>
          <c:y val="0"/>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manualLayout>
          <c:layoutTarget val="inner"/>
          <c:xMode val="edge"/>
          <c:yMode val="edge"/>
          <c:x val="0.10729802143665393"/>
          <c:y val="0.15662100456621006"/>
          <c:w val="0.83325628399522411"/>
          <c:h val="0.73745083234458708"/>
        </c:manualLayout>
      </c:layout>
      <c:barChart>
        <c:barDir val="col"/>
        <c:grouping val="clustered"/>
        <c:varyColors val="0"/>
        <c:ser>
          <c:idx val="0"/>
          <c:order val="0"/>
          <c:tx>
            <c:strRef>
              <c:f>Feuil1!$A$61</c:f>
              <c:strCache>
                <c:ptCount val="1"/>
                <c:pt idx="0">
                  <c:v>Semestres</c:v>
                </c:pt>
              </c:strCache>
            </c:strRef>
          </c:tx>
          <c:spPr>
            <a:solidFill>
              <a:schemeClr val="accent5">
                <a:lumMod val="75000"/>
              </a:schemeClr>
            </a:solidFill>
            <a:ln>
              <a:noFill/>
            </a:ln>
            <a:effectLst/>
          </c:spPr>
          <c:invertIfNegative val="0"/>
          <c:dPt>
            <c:idx val="0"/>
            <c:invertIfNegative val="0"/>
            <c:bubble3D val="0"/>
            <c:spPr>
              <a:solidFill>
                <a:schemeClr val="accent5">
                  <a:lumMod val="75000"/>
                </a:schemeClr>
              </a:solidFill>
              <a:ln>
                <a:solidFill>
                  <a:schemeClr val="accent5">
                    <a:lumMod val="75000"/>
                  </a:schemeClr>
                </a:solidFill>
              </a:ln>
              <a:effectLst/>
            </c:spPr>
            <c:extLst>
              <c:ext xmlns:c16="http://schemas.microsoft.com/office/drawing/2014/chart" uri="{C3380CC4-5D6E-409C-BE32-E72D297353CC}">
                <c16:uniqueId val="{00000002-D30A-4A62-8400-CBD50FE5B1CC}"/>
              </c:ext>
            </c:extLst>
          </c:dPt>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30A-4A62-8400-CBD50FE5B1CC}"/>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30A-4A62-8400-CBD50FE5B1CC}"/>
                </c:ext>
              </c:extLst>
            </c:dLbl>
            <c:dLbl>
              <c:idx val="2"/>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30A-4A62-8400-CBD50FE5B1CC}"/>
                </c:ext>
              </c:extLst>
            </c:dLbl>
            <c:dLbl>
              <c:idx val="3"/>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30A-4A62-8400-CBD50FE5B1C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Feuil1!$B$60:$E$60</c:f>
              <c:strCache>
                <c:ptCount val="4"/>
                <c:pt idx="0">
                  <c:v>S1 2021</c:v>
                </c:pt>
                <c:pt idx="1">
                  <c:v>S2 2021</c:v>
                </c:pt>
                <c:pt idx="2">
                  <c:v>S1 2022</c:v>
                </c:pt>
                <c:pt idx="3">
                  <c:v>S2 2022</c:v>
                </c:pt>
              </c:strCache>
            </c:strRef>
          </c:cat>
          <c:val>
            <c:numRef>
              <c:f>Feuil1!$B$61:$E$61</c:f>
              <c:numCache>
                <c:formatCode>#,##0</c:formatCode>
                <c:ptCount val="4"/>
                <c:pt idx="0">
                  <c:v>76548</c:v>
                </c:pt>
                <c:pt idx="1">
                  <c:v>31103.526999999998</c:v>
                </c:pt>
                <c:pt idx="2">
                  <c:v>18597</c:v>
                </c:pt>
                <c:pt idx="3">
                  <c:v>11344.785</c:v>
                </c:pt>
              </c:numCache>
            </c:numRef>
          </c:val>
          <c:extLst>
            <c:ext xmlns:c16="http://schemas.microsoft.com/office/drawing/2014/chart" uri="{C3380CC4-5D6E-409C-BE32-E72D297353CC}">
              <c16:uniqueId val="{00000000-C7C9-440D-8BB3-A0268CF1716C}"/>
            </c:ext>
          </c:extLst>
        </c:ser>
        <c:dLbls>
          <c:showLegendKey val="0"/>
          <c:showVal val="0"/>
          <c:showCatName val="0"/>
          <c:showSerName val="0"/>
          <c:showPercent val="0"/>
          <c:showBubbleSize val="0"/>
        </c:dLbls>
        <c:gapWidth val="219"/>
        <c:overlap val="-27"/>
        <c:axId val="1707149615"/>
        <c:axId val="1707151695"/>
      </c:barChart>
      <c:catAx>
        <c:axId val="17071496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1707151695"/>
        <c:crosses val="autoZero"/>
        <c:auto val="1"/>
        <c:lblAlgn val="ctr"/>
        <c:lblOffset val="100"/>
        <c:noMultiLvlLbl val="0"/>
      </c:catAx>
      <c:valAx>
        <c:axId val="170715169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fr-FR"/>
          </a:p>
        </c:txPr>
        <c:crossAx val="170714961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7269C-793D-48ED-B9A3-8C87208E4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907</Words>
  <Characters>4989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VARINOIS DEHEZ Lilian</dc:creator>
  <cp:keywords/>
  <dc:description/>
  <cp:lastModifiedBy>LOUSSIER Arthur</cp:lastModifiedBy>
  <cp:revision>3</cp:revision>
  <cp:lastPrinted>2022-11-02T09:04:00Z</cp:lastPrinted>
  <dcterms:created xsi:type="dcterms:W3CDTF">2023-08-04T03:25:00Z</dcterms:created>
  <dcterms:modified xsi:type="dcterms:W3CDTF">2023-08-04T03:32:00Z</dcterms:modified>
</cp:coreProperties>
</file>