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A8198" w14:textId="0558E1DA" w:rsidR="00230021" w:rsidRPr="00771E74" w:rsidRDefault="00230021" w:rsidP="00110F90">
      <w:pPr>
        <w:spacing w:before="120" w:after="120" w:line="276" w:lineRule="auto"/>
        <w:jc w:val="both"/>
        <w:rPr>
          <w:rFonts w:ascii="Times New Roman" w:hAnsi="Times New Roman" w:cs="Times New Roman"/>
          <w:b/>
          <w:bCs/>
          <w:sz w:val="22"/>
          <w:szCs w:val="22"/>
        </w:rPr>
      </w:pPr>
      <w:r w:rsidRPr="00771E74">
        <w:rPr>
          <w:rFonts w:ascii="Times New Roman" w:hAnsi="Times New Roman" w:cs="Times New Roman"/>
          <w:b/>
          <w:bCs/>
          <w:sz w:val="22"/>
          <w:szCs w:val="22"/>
        </w:rPr>
        <w:t xml:space="preserve">Objet : </w:t>
      </w:r>
      <w:r w:rsidR="00CE5CA6">
        <w:rPr>
          <w:rFonts w:ascii="Times New Roman" w:hAnsi="Times New Roman" w:cs="Times New Roman"/>
          <w:b/>
          <w:bCs/>
          <w:sz w:val="22"/>
          <w:szCs w:val="22"/>
        </w:rPr>
        <w:t>Investissements étrangers</w:t>
      </w:r>
      <w:r w:rsidR="00377D40">
        <w:rPr>
          <w:rFonts w:ascii="Times New Roman" w:hAnsi="Times New Roman" w:cs="Times New Roman"/>
          <w:b/>
          <w:bCs/>
          <w:sz w:val="22"/>
          <w:szCs w:val="22"/>
        </w:rPr>
        <w:t xml:space="preserve"> en Finlande </w:t>
      </w:r>
      <w:r w:rsidR="00CE5CA6">
        <w:rPr>
          <w:rFonts w:ascii="Times New Roman" w:hAnsi="Times New Roman" w:cs="Times New Roman"/>
          <w:b/>
          <w:bCs/>
          <w:sz w:val="22"/>
          <w:szCs w:val="22"/>
        </w:rPr>
        <w:t xml:space="preserve">et investissement finlandais à l’étranger </w:t>
      </w:r>
      <w:r w:rsidR="00377D40">
        <w:rPr>
          <w:rFonts w:ascii="Times New Roman" w:hAnsi="Times New Roman" w:cs="Times New Roman"/>
          <w:b/>
          <w:bCs/>
          <w:sz w:val="22"/>
          <w:szCs w:val="22"/>
        </w:rPr>
        <w:t>en 2016</w:t>
      </w:r>
    </w:p>
    <w:p w14:paraId="1BFA68DB" w14:textId="263F8BFE" w:rsidR="007C7984" w:rsidRDefault="002515D6" w:rsidP="00110F90">
      <w:pPr>
        <w:pBdr>
          <w:top w:val="single" w:sz="4" w:space="1" w:color="auto"/>
          <w:left w:val="single" w:sz="4" w:space="4" w:color="auto"/>
          <w:bottom w:val="single" w:sz="4" w:space="1" w:color="auto"/>
          <w:right w:val="single" w:sz="4" w:space="4" w:color="auto"/>
        </w:pBdr>
        <w:spacing w:before="120" w:after="120"/>
        <w:jc w:val="both"/>
        <w:rPr>
          <w:rFonts w:ascii="Times New Roman" w:eastAsia="Calibri" w:hAnsi="Times New Roman" w:cs="Times New Roman"/>
          <w:i/>
          <w:sz w:val="22"/>
          <w:szCs w:val="22"/>
          <w:lang w:eastAsia="en-US"/>
        </w:rPr>
      </w:pPr>
      <w:r w:rsidRPr="002515D6">
        <w:rPr>
          <w:rFonts w:ascii="Times New Roman" w:hAnsi="Times New Roman" w:cs="Times New Roman"/>
          <w:i/>
          <w:sz w:val="22"/>
          <w:szCs w:val="22"/>
        </w:rPr>
        <w:t xml:space="preserve">Le stock d’IDE entrants en Finlande s’élève à </w:t>
      </w:r>
      <w:r>
        <w:rPr>
          <w:rFonts w:ascii="Times New Roman" w:hAnsi="Times New Roman" w:cs="Times New Roman"/>
          <w:i/>
          <w:sz w:val="22"/>
          <w:szCs w:val="22"/>
        </w:rPr>
        <w:t>76,6</w:t>
      </w:r>
      <w:r w:rsidRPr="002515D6">
        <w:rPr>
          <w:rFonts w:ascii="Times New Roman" w:hAnsi="Times New Roman" w:cs="Times New Roman"/>
          <w:i/>
          <w:sz w:val="22"/>
          <w:szCs w:val="22"/>
        </w:rPr>
        <w:t xml:space="preserve"> Mds € à la fin de l’année 201</w:t>
      </w:r>
      <w:r>
        <w:rPr>
          <w:rFonts w:ascii="Times New Roman" w:hAnsi="Times New Roman" w:cs="Times New Roman"/>
          <w:i/>
          <w:sz w:val="22"/>
          <w:szCs w:val="22"/>
        </w:rPr>
        <w:t>6</w:t>
      </w:r>
      <w:r w:rsidRPr="002515D6">
        <w:rPr>
          <w:rFonts w:ascii="Times New Roman" w:hAnsi="Times New Roman" w:cs="Times New Roman"/>
          <w:i/>
          <w:sz w:val="22"/>
          <w:szCs w:val="22"/>
        </w:rPr>
        <w:t xml:space="preserve">, en </w:t>
      </w:r>
      <w:r>
        <w:rPr>
          <w:rFonts w:ascii="Times New Roman" w:hAnsi="Times New Roman" w:cs="Times New Roman"/>
          <w:i/>
          <w:sz w:val="22"/>
          <w:szCs w:val="22"/>
        </w:rPr>
        <w:t xml:space="preserve">hausse de +2,1 </w:t>
      </w:r>
      <w:r w:rsidRPr="002515D6">
        <w:rPr>
          <w:rFonts w:ascii="Times New Roman" w:hAnsi="Times New Roman" w:cs="Times New Roman"/>
          <w:i/>
          <w:sz w:val="22"/>
          <w:szCs w:val="22"/>
        </w:rPr>
        <w:t xml:space="preserve">% par rapport à l’année précédente. Le stock d’IDE finlandais à l’étranger </w:t>
      </w:r>
      <w:r>
        <w:rPr>
          <w:rFonts w:ascii="Times New Roman" w:hAnsi="Times New Roman" w:cs="Times New Roman"/>
          <w:i/>
          <w:sz w:val="22"/>
          <w:szCs w:val="22"/>
        </w:rPr>
        <w:t>s’est élevé</w:t>
      </w:r>
      <w:r w:rsidRPr="002515D6">
        <w:rPr>
          <w:rFonts w:ascii="Times New Roman" w:hAnsi="Times New Roman" w:cs="Times New Roman"/>
          <w:i/>
          <w:sz w:val="22"/>
          <w:szCs w:val="22"/>
        </w:rPr>
        <w:t xml:space="preserve"> </w:t>
      </w:r>
      <w:r>
        <w:rPr>
          <w:rFonts w:ascii="Times New Roman" w:hAnsi="Times New Roman" w:cs="Times New Roman"/>
          <w:i/>
          <w:sz w:val="22"/>
          <w:szCs w:val="22"/>
        </w:rPr>
        <w:t>à 105,4 Mds en 201</w:t>
      </w:r>
      <w:r w:rsidR="00652FB5">
        <w:rPr>
          <w:rFonts w:ascii="Times New Roman" w:hAnsi="Times New Roman" w:cs="Times New Roman"/>
          <w:i/>
          <w:sz w:val="22"/>
          <w:szCs w:val="22"/>
        </w:rPr>
        <w:t>6</w:t>
      </w:r>
      <w:bookmarkStart w:id="0" w:name="_GoBack"/>
      <w:bookmarkEnd w:id="0"/>
      <w:r>
        <w:rPr>
          <w:rFonts w:ascii="Times New Roman" w:hAnsi="Times New Roman" w:cs="Times New Roman"/>
          <w:i/>
          <w:sz w:val="22"/>
          <w:szCs w:val="22"/>
        </w:rPr>
        <w:t xml:space="preserve"> (+21,4</w:t>
      </w:r>
      <w:r w:rsidRPr="002515D6">
        <w:rPr>
          <w:rFonts w:ascii="Times New Roman" w:hAnsi="Times New Roman" w:cs="Times New Roman"/>
          <w:i/>
          <w:sz w:val="22"/>
          <w:szCs w:val="22"/>
        </w:rPr>
        <w:t xml:space="preserve"> %). L’écart entre les stocks d’IDE entrants et sortants reste positif (les investissements finlandais à l’étranger valent toujours plus que </w:t>
      </w:r>
      <w:r>
        <w:rPr>
          <w:rFonts w:ascii="Times New Roman" w:hAnsi="Times New Roman" w:cs="Times New Roman"/>
          <w:i/>
          <w:sz w:val="22"/>
          <w:szCs w:val="22"/>
        </w:rPr>
        <w:t>ceux des étrangers en Finlande). Près de l</w:t>
      </w:r>
      <w:r w:rsidRPr="002515D6">
        <w:rPr>
          <w:rFonts w:ascii="Times New Roman" w:hAnsi="Times New Roman" w:cs="Times New Roman"/>
          <w:i/>
          <w:sz w:val="22"/>
          <w:szCs w:val="22"/>
        </w:rPr>
        <w:t>a moitié du stock d’investissements étrangers en Finlande et un tiers des IDE sortants concernent la Suède.</w:t>
      </w:r>
      <w:r w:rsidR="00CE5CA6">
        <w:rPr>
          <w:rFonts w:ascii="Times New Roman" w:hAnsi="Times New Roman" w:cs="Times New Roman"/>
          <w:i/>
          <w:sz w:val="22"/>
          <w:szCs w:val="22"/>
        </w:rPr>
        <w:t xml:space="preserve"> De la même façon, parmi les entreprises étrangères présentes en Finlande, les entreprises suédoises sont </w:t>
      </w:r>
      <w:r w:rsidR="001C5595">
        <w:rPr>
          <w:rFonts w:ascii="Times New Roman" w:hAnsi="Times New Roman" w:cs="Times New Roman"/>
          <w:i/>
          <w:sz w:val="22"/>
          <w:szCs w:val="22"/>
        </w:rPr>
        <w:t>prédominantes.</w:t>
      </w:r>
    </w:p>
    <w:p w14:paraId="076BFA19" w14:textId="6DF189CB" w:rsidR="005E68B4" w:rsidRPr="005E68B4" w:rsidRDefault="00377D40" w:rsidP="00110F90">
      <w:pPr>
        <w:pStyle w:val="Paragraphedeliste"/>
        <w:numPr>
          <w:ilvl w:val="0"/>
          <w:numId w:val="23"/>
        </w:numPr>
        <w:spacing w:before="120" w:after="120"/>
        <w:ind w:left="1560" w:hanging="709"/>
        <w:jc w:val="both"/>
        <w:rPr>
          <w:rFonts w:ascii="Times New Roman" w:hAnsi="Times New Roman" w:cs="Times New Roman"/>
          <w:color w:val="000000"/>
          <w:sz w:val="22"/>
          <w:szCs w:val="22"/>
        </w:rPr>
      </w:pPr>
      <w:r>
        <w:rPr>
          <w:rFonts w:ascii="Times New Roman" w:eastAsia="Calibri" w:hAnsi="Times New Roman" w:cs="Times New Roman"/>
          <w:b/>
          <w:sz w:val="22"/>
          <w:szCs w:val="22"/>
          <w:u w:val="single"/>
          <w:lang w:eastAsia="en-US"/>
        </w:rPr>
        <w:t>Les IDE entrants : la France est en 2016 le 7</w:t>
      </w:r>
      <w:r w:rsidRPr="00377D40">
        <w:rPr>
          <w:rFonts w:ascii="Times New Roman" w:eastAsia="Calibri" w:hAnsi="Times New Roman" w:cs="Times New Roman"/>
          <w:b/>
          <w:sz w:val="22"/>
          <w:szCs w:val="22"/>
          <w:u w:val="single"/>
          <w:vertAlign w:val="superscript"/>
          <w:lang w:eastAsia="en-US"/>
        </w:rPr>
        <w:t>ème</w:t>
      </w:r>
      <w:r>
        <w:rPr>
          <w:rFonts w:ascii="Times New Roman" w:eastAsia="Calibri" w:hAnsi="Times New Roman" w:cs="Times New Roman"/>
          <w:b/>
          <w:sz w:val="22"/>
          <w:szCs w:val="22"/>
          <w:u w:val="single"/>
          <w:lang w:eastAsia="en-US"/>
        </w:rPr>
        <w:t xml:space="preserve"> investisseur en Finlande</w:t>
      </w:r>
      <w:r w:rsidR="001B7482">
        <w:rPr>
          <w:rFonts w:ascii="Times New Roman" w:eastAsia="Calibri" w:hAnsi="Times New Roman" w:cs="Times New Roman"/>
          <w:b/>
          <w:sz w:val="22"/>
          <w:szCs w:val="22"/>
          <w:u w:val="single"/>
          <w:lang w:eastAsia="en-US"/>
        </w:rPr>
        <w:t>.</w:t>
      </w:r>
    </w:p>
    <w:p w14:paraId="0B51DA4F" w14:textId="77777777" w:rsidR="00377D40" w:rsidRPr="00377D40" w:rsidRDefault="00377D40" w:rsidP="00377D40">
      <w:pPr>
        <w:spacing w:after="120"/>
        <w:ind w:left="567"/>
        <w:jc w:val="both"/>
        <w:rPr>
          <w:rFonts w:ascii="Times New Roman" w:hAnsi="Times New Roman" w:cs="Times New Roman"/>
          <w:i/>
        </w:rPr>
      </w:pPr>
      <w:r w:rsidRPr="00377D40">
        <w:rPr>
          <w:rFonts w:ascii="Times New Roman" w:hAnsi="Times New Roman" w:cs="Times New Roman"/>
          <w:b/>
          <w:sz w:val="22"/>
          <w:u w:val="single"/>
        </w:rPr>
        <w:t>NB</w:t>
      </w:r>
      <w:r w:rsidRPr="00377D40">
        <w:rPr>
          <w:rFonts w:ascii="Times New Roman" w:hAnsi="Times New Roman" w:cs="Times New Roman"/>
          <w:b/>
          <w:sz w:val="22"/>
        </w:rPr>
        <w:t> :</w:t>
      </w:r>
      <w:r w:rsidRPr="00377D40">
        <w:rPr>
          <w:rFonts w:ascii="Times New Roman" w:hAnsi="Times New Roman" w:cs="Times New Roman"/>
          <w:sz w:val="22"/>
        </w:rPr>
        <w:t xml:space="preserve"> </w:t>
      </w:r>
      <w:r w:rsidRPr="00377D40">
        <w:rPr>
          <w:rFonts w:ascii="Times New Roman" w:hAnsi="Times New Roman" w:cs="Times New Roman"/>
          <w:i/>
        </w:rPr>
        <w:t xml:space="preserve">Les investissements directs à l’étranger (IDE) désignent les investissements par lesquels des entités résidentes d’une économie acquièrent ou ont acquis un </w:t>
      </w:r>
      <w:r w:rsidRPr="00377D40">
        <w:rPr>
          <w:rFonts w:ascii="Times New Roman" w:hAnsi="Times New Roman" w:cs="Times New Roman"/>
          <w:b/>
          <w:i/>
        </w:rPr>
        <w:t>intérêt durable</w:t>
      </w:r>
      <w:r w:rsidRPr="00377D40">
        <w:rPr>
          <w:rFonts w:ascii="Times New Roman" w:hAnsi="Times New Roman" w:cs="Times New Roman"/>
          <w:i/>
        </w:rPr>
        <w:t xml:space="preserve"> </w:t>
      </w:r>
      <w:r w:rsidRPr="009A1E3F">
        <w:rPr>
          <w:rFonts w:ascii="Times New Roman" w:hAnsi="Times New Roman" w:cs="Times New Roman"/>
          <w:b/>
          <w:i/>
        </w:rPr>
        <w:t>dans une entité résidente d’une économie étrangère</w:t>
      </w:r>
      <w:r w:rsidRPr="00377D40">
        <w:rPr>
          <w:rFonts w:ascii="Times New Roman" w:hAnsi="Times New Roman" w:cs="Times New Roman"/>
          <w:i/>
        </w:rPr>
        <w:t xml:space="preserve">. On parle d’IDE sortants (respectivement entrants) lorsqu’une entreprise résidente en Finlande (respectivement à l’étranger) a le contrôle - elle détient plus de 50% des droits de vote - ou une influence - elle possède entre 10 et 50% des droits de vote - sur une entreprise résidente à l’étranger (respectivement en Finlande). Il est à noter qu’une prise de participation dans une entreprise n’implique pas nécessairement un investissement réel dans le pays. A l’inverse, un investissement d’une entreprise étrangère présente en Finlande et utilisant des financements domestiques n’est pas comptabilisé comme un IDE. </w:t>
      </w:r>
    </w:p>
    <w:p w14:paraId="5E30B761" w14:textId="52F941F0" w:rsidR="00377D40" w:rsidRPr="00377D40" w:rsidRDefault="00377D40" w:rsidP="00377D40">
      <w:pPr>
        <w:spacing w:after="120"/>
        <w:ind w:left="567"/>
        <w:jc w:val="both"/>
        <w:rPr>
          <w:rFonts w:ascii="Times New Roman" w:hAnsi="Times New Roman" w:cs="Times New Roman"/>
          <w:i/>
        </w:rPr>
      </w:pPr>
      <w:r w:rsidRPr="00377D40">
        <w:rPr>
          <w:rFonts w:ascii="Times New Roman" w:hAnsi="Times New Roman" w:cs="Times New Roman"/>
          <w:i/>
        </w:rPr>
        <w:t>Depuis le 11 juillet 2014, les statistiques relatives à la balance des paiements en Finlande suivent le nouveau standard statistique élaboré par le FMI et l’OCDE. De ce fait, les données publiées depuis 2013 ne sont plus comparables avec les données des années précédentes.</w:t>
      </w:r>
      <w:r w:rsidR="00632E30">
        <w:rPr>
          <w:rFonts w:ascii="Times New Roman" w:hAnsi="Times New Roman" w:cs="Times New Roman"/>
          <w:i/>
        </w:rPr>
        <w:t xml:space="preserve"> Sauf mention contraire, les données publiées ici proviennent de Statistiques Finlande.</w:t>
      </w:r>
    </w:p>
    <w:p w14:paraId="3D5FF43F" w14:textId="0FA9D5E8" w:rsidR="00E24BFC" w:rsidRDefault="009A1E3F" w:rsidP="009A1E3F">
      <w:pPr>
        <w:spacing w:after="120"/>
        <w:ind w:left="567"/>
        <w:jc w:val="both"/>
        <w:rPr>
          <w:rFonts w:ascii="Times New Roman" w:hAnsi="Times New Roman" w:cs="Times New Roman"/>
          <w:sz w:val="22"/>
        </w:rPr>
      </w:pPr>
      <w:r w:rsidRPr="001A5715">
        <w:rPr>
          <w:rFonts w:ascii="Times New Roman" w:hAnsi="Times New Roman" w:cs="Times New Roman"/>
          <w:b/>
          <w:sz w:val="22"/>
        </w:rPr>
        <w:t>A la fin de l’année 201</w:t>
      </w:r>
      <w:r>
        <w:rPr>
          <w:rFonts w:ascii="Times New Roman" w:hAnsi="Times New Roman" w:cs="Times New Roman"/>
          <w:b/>
          <w:sz w:val="22"/>
        </w:rPr>
        <w:t>6</w:t>
      </w:r>
      <w:r w:rsidRPr="001A5715">
        <w:rPr>
          <w:rFonts w:ascii="Times New Roman" w:hAnsi="Times New Roman" w:cs="Times New Roman"/>
          <w:b/>
          <w:sz w:val="22"/>
        </w:rPr>
        <w:t>, le stock d’IDE entrants sur le territoire finlandais s’élevait à 7</w:t>
      </w:r>
      <w:r>
        <w:rPr>
          <w:rFonts w:ascii="Times New Roman" w:hAnsi="Times New Roman" w:cs="Times New Roman"/>
          <w:b/>
          <w:sz w:val="22"/>
        </w:rPr>
        <w:t>6</w:t>
      </w:r>
      <w:r w:rsidRPr="001A5715">
        <w:rPr>
          <w:rFonts w:ascii="Times New Roman" w:hAnsi="Times New Roman" w:cs="Times New Roman"/>
          <w:b/>
          <w:sz w:val="22"/>
        </w:rPr>
        <w:t>,</w:t>
      </w:r>
      <w:r>
        <w:rPr>
          <w:rFonts w:ascii="Times New Roman" w:hAnsi="Times New Roman" w:cs="Times New Roman"/>
          <w:b/>
          <w:sz w:val="22"/>
        </w:rPr>
        <w:t>6</w:t>
      </w:r>
      <w:r w:rsidRPr="001A5715">
        <w:rPr>
          <w:rFonts w:ascii="Times New Roman" w:hAnsi="Times New Roman" w:cs="Times New Roman"/>
          <w:b/>
          <w:sz w:val="22"/>
        </w:rPr>
        <w:t xml:space="preserve"> Mds</w:t>
      </w:r>
      <w:r>
        <w:rPr>
          <w:rFonts w:ascii="Times New Roman" w:hAnsi="Times New Roman" w:cs="Times New Roman"/>
          <w:b/>
          <w:sz w:val="22"/>
        </w:rPr>
        <w:t xml:space="preserve"> </w:t>
      </w:r>
      <w:r w:rsidRPr="001A5715">
        <w:rPr>
          <w:rFonts w:ascii="Times New Roman" w:hAnsi="Times New Roman" w:cs="Times New Roman"/>
          <w:b/>
          <w:sz w:val="22"/>
        </w:rPr>
        <w:t xml:space="preserve">€, en </w:t>
      </w:r>
      <w:r>
        <w:rPr>
          <w:rFonts w:ascii="Times New Roman" w:hAnsi="Times New Roman" w:cs="Times New Roman"/>
          <w:b/>
          <w:sz w:val="22"/>
        </w:rPr>
        <w:t>hausse</w:t>
      </w:r>
      <w:r w:rsidRPr="001A5715">
        <w:rPr>
          <w:rFonts w:ascii="Times New Roman" w:hAnsi="Times New Roman" w:cs="Times New Roman"/>
          <w:b/>
          <w:sz w:val="22"/>
        </w:rPr>
        <w:t xml:space="preserve"> de </w:t>
      </w:r>
      <w:r w:rsidR="00E24BFC">
        <w:rPr>
          <w:rFonts w:ascii="Times New Roman" w:hAnsi="Times New Roman" w:cs="Times New Roman"/>
          <w:b/>
          <w:sz w:val="22"/>
        </w:rPr>
        <w:t>+</w:t>
      </w:r>
      <w:r w:rsidRPr="001A5715">
        <w:rPr>
          <w:rFonts w:ascii="Times New Roman" w:hAnsi="Times New Roman" w:cs="Times New Roman"/>
          <w:b/>
          <w:sz w:val="22"/>
        </w:rPr>
        <w:t>2</w:t>
      </w:r>
      <w:r>
        <w:rPr>
          <w:rFonts w:ascii="Times New Roman" w:hAnsi="Times New Roman" w:cs="Times New Roman"/>
          <w:b/>
          <w:sz w:val="22"/>
        </w:rPr>
        <w:t xml:space="preserve">,1 </w:t>
      </w:r>
      <w:r w:rsidRPr="001A5715">
        <w:rPr>
          <w:rFonts w:ascii="Times New Roman" w:hAnsi="Times New Roman" w:cs="Times New Roman"/>
          <w:b/>
          <w:sz w:val="22"/>
        </w:rPr>
        <w:t>% par rapport à l’année précédente</w:t>
      </w:r>
      <w:r w:rsidRPr="00E54685">
        <w:rPr>
          <w:rFonts w:ascii="Times New Roman" w:hAnsi="Times New Roman" w:cs="Times New Roman"/>
          <w:sz w:val="22"/>
        </w:rPr>
        <w:t xml:space="preserve">. </w:t>
      </w:r>
      <w:r>
        <w:rPr>
          <w:rFonts w:ascii="Times New Roman" w:hAnsi="Times New Roman" w:cs="Times New Roman"/>
          <w:sz w:val="22"/>
        </w:rPr>
        <w:t xml:space="preserve">Le flux </w:t>
      </w:r>
      <w:r w:rsidR="00F35C70">
        <w:rPr>
          <w:rFonts w:ascii="Times New Roman" w:hAnsi="Times New Roman" w:cs="Times New Roman"/>
          <w:sz w:val="22"/>
        </w:rPr>
        <w:t xml:space="preserve">net </w:t>
      </w:r>
      <w:r>
        <w:rPr>
          <w:rFonts w:ascii="Times New Roman" w:hAnsi="Times New Roman" w:cs="Times New Roman"/>
          <w:sz w:val="22"/>
        </w:rPr>
        <w:t xml:space="preserve">d’IDE entrants était de </w:t>
      </w:r>
      <w:r w:rsidR="00F35C70">
        <w:rPr>
          <w:rFonts w:ascii="Times New Roman" w:hAnsi="Times New Roman" w:cs="Times New Roman"/>
          <w:sz w:val="22"/>
        </w:rPr>
        <w:t xml:space="preserve">10,5 </w:t>
      </w:r>
      <w:r>
        <w:rPr>
          <w:rFonts w:ascii="Times New Roman" w:hAnsi="Times New Roman" w:cs="Times New Roman"/>
          <w:sz w:val="22"/>
        </w:rPr>
        <w:t>Mds €</w:t>
      </w:r>
      <w:r w:rsidR="00F35C70">
        <w:rPr>
          <w:rFonts w:ascii="Times New Roman" w:hAnsi="Times New Roman" w:cs="Times New Roman"/>
          <w:sz w:val="22"/>
        </w:rPr>
        <w:t xml:space="preserve">, en forte augmentation par rapport à 2015 (alors 1,3 Mds €). Notamment, </w:t>
      </w:r>
      <w:r w:rsidR="00E24BFC">
        <w:rPr>
          <w:rFonts w:ascii="Times New Roman" w:hAnsi="Times New Roman" w:cs="Times New Roman"/>
          <w:sz w:val="22"/>
        </w:rPr>
        <w:t xml:space="preserve">les flux d’investissements en provenance du Luxembourg atteignent 7,7 Mds € en 2016, alors qu’ils étaient négatifs en 2015. En revanche, </w:t>
      </w:r>
      <w:r w:rsidR="00F35C70">
        <w:rPr>
          <w:rFonts w:ascii="Times New Roman" w:hAnsi="Times New Roman" w:cs="Times New Roman"/>
          <w:sz w:val="22"/>
        </w:rPr>
        <w:t xml:space="preserve">les flux d’investissements en provenance de la </w:t>
      </w:r>
      <w:r w:rsidR="00E24BFC">
        <w:rPr>
          <w:rFonts w:ascii="Times New Roman" w:hAnsi="Times New Roman" w:cs="Times New Roman"/>
          <w:sz w:val="22"/>
        </w:rPr>
        <w:t xml:space="preserve">Suède diminuent de 2,1 Mds € en 2015 à 448 M € en 2016. </w:t>
      </w:r>
      <w:r w:rsidR="00E24BFC" w:rsidRPr="00D10B4D">
        <w:rPr>
          <w:rFonts w:ascii="Times New Roman" w:hAnsi="Times New Roman" w:cs="Times New Roman"/>
          <w:b/>
          <w:sz w:val="22"/>
        </w:rPr>
        <w:t>Les flux en provenance de la France indiquent un léger désinvestissement en 2016 (-32 M €).</w:t>
      </w:r>
    </w:p>
    <w:p w14:paraId="0D61DCF1" w14:textId="0B3ED0C8" w:rsidR="009A1E3F" w:rsidRDefault="009A1E3F" w:rsidP="009A1E3F">
      <w:pPr>
        <w:spacing w:after="120"/>
        <w:ind w:left="567"/>
        <w:jc w:val="both"/>
        <w:rPr>
          <w:rFonts w:ascii="Times New Roman" w:hAnsi="Times New Roman" w:cs="Times New Roman"/>
          <w:sz w:val="22"/>
        </w:rPr>
      </w:pPr>
      <w:r w:rsidRPr="00E54685">
        <w:rPr>
          <w:rFonts w:ascii="Times New Roman" w:hAnsi="Times New Roman" w:cs="Times New Roman"/>
          <w:sz w:val="22"/>
        </w:rPr>
        <w:t xml:space="preserve">L’UE </w:t>
      </w:r>
      <w:r>
        <w:rPr>
          <w:rFonts w:ascii="Times New Roman" w:hAnsi="Times New Roman" w:cs="Times New Roman"/>
          <w:sz w:val="22"/>
        </w:rPr>
        <w:t>est à l’origine de</w:t>
      </w:r>
      <w:r w:rsidRPr="00E54685">
        <w:rPr>
          <w:rFonts w:ascii="Times New Roman" w:hAnsi="Times New Roman" w:cs="Times New Roman"/>
          <w:sz w:val="22"/>
        </w:rPr>
        <w:t xml:space="preserve"> </w:t>
      </w:r>
      <w:r w:rsidR="00E24BFC">
        <w:rPr>
          <w:rFonts w:ascii="Times New Roman" w:hAnsi="Times New Roman" w:cs="Times New Roman"/>
          <w:sz w:val="22"/>
        </w:rPr>
        <w:t xml:space="preserve">87 </w:t>
      </w:r>
      <w:r>
        <w:rPr>
          <w:rFonts w:ascii="Times New Roman" w:hAnsi="Times New Roman" w:cs="Times New Roman"/>
          <w:sz w:val="22"/>
        </w:rPr>
        <w:t>%</w:t>
      </w:r>
      <w:r w:rsidRPr="00E54685">
        <w:rPr>
          <w:rFonts w:ascii="Times New Roman" w:hAnsi="Times New Roman" w:cs="Times New Roman"/>
          <w:sz w:val="22"/>
        </w:rPr>
        <w:t xml:space="preserve"> </w:t>
      </w:r>
      <w:r>
        <w:rPr>
          <w:rFonts w:ascii="Times New Roman" w:hAnsi="Times New Roman" w:cs="Times New Roman"/>
          <w:sz w:val="22"/>
        </w:rPr>
        <w:t xml:space="preserve">du stock </w:t>
      </w:r>
      <w:r w:rsidRPr="00E54685">
        <w:rPr>
          <w:rFonts w:ascii="Times New Roman" w:hAnsi="Times New Roman" w:cs="Times New Roman"/>
          <w:sz w:val="22"/>
        </w:rPr>
        <w:t xml:space="preserve">des IDE entrants en Finlande. Les IDE provenant de la zone euro </w:t>
      </w:r>
      <w:r>
        <w:rPr>
          <w:rFonts w:ascii="Times New Roman" w:hAnsi="Times New Roman" w:cs="Times New Roman"/>
          <w:sz w:val="22"/>
        </w:rPr>
        <w:t xml:space="preserve">sont </w:t>
      </w:r>
      <w:r w:rsidR="00DA4CF8">
        <w:rPr>
          <w:rFonts w:ascii="Times New Roman" w:hAnsi="Times New Roman" w:cs="Times New Roman"/>
          <w:sz w:val="22"/>
        </w:rPr>
        <w:t xml:space="preserve">passés de 25 </w:t>
      </w:r>
      <w:r>
        <w:rPr>
          <w:rFonts w:ascii="Times New Roman" w:hAnsi="Times New Roman" w:cs="Times New Roman"/>
          <w:sz w:val="22"/>
        </w:rPr>
        <w:t>% du stock total en 201</w:t>
      </w:r>
      <w:r w:rsidR="00DA4CF8">
        <w:rPr>
          <w:rFonts w:ascii="Times New Roman" w:hAnsi="Times New Roman" w:cs="Times New Roman"/>
          <w:sz w:val="22"/>
        </w:rPr>
        <w:t>5</w:t>
      </w:r>
      <w:r>
        <w:rPr>
          <w:rFonts w:ascii="Times New Roman" w:hAnsi="Times New Roman" w:cs="Times New Roman"/>
          <w:sz w:val="22"/>
        </w:rPr>
        <w:t xml:space="preserve"> à </w:t>
      </w:r>
      <w:r w:rsidR="00DA4CF8">
        <w:rPr>
          <w:rFonts w:ascii="Times New Roman" w:hAnsi="Times New Roman" w:cs="Times New Roman"/>
          <w:sz w:val="22"/>
        </w:rPr>
        <w:t>32 % en 2016</w:t>
      </w:r>
      <w:r>
        <w:rPr>
          <w:rFonts w:ascii="Times New Roman" w:hAnsi="Times New Roman" w:cs="Times New Roman"/>
          <w:sz w:val="22"/>
        </w:rPr>
        <w:t xml:space="preserve">, du fait </w:t>
      </w:r>
      <w:r w:rsidR="00DA4CF8">
        <w:rPr>
          <w:rFonts w:ascii="Times New Roman" w:hAnsi="Times New Roman" w:cs="Times New Roman"/>
          <w:sz w:val="22"/>
        </w:rPr>
        <w:t xml:space="preserve">de la hausse </w:t>
      </w:r>
      <w:r>
        <w:rPr>
          <w:rFonts w:ascii="Times New Roman" w:hAnsi="Times New Roman" w:cs="Times New Roman"/>
          <w:sz w:val="22"/>
        </w:rPr>
        <w:t>des investissements en provenance du Luxembourg</w:t>
      </w:r>
      <w:r>
        <w:rPr>
          <w:rStyle w:val="Appelnotedebasdep"/>
          <w:rFonts w:ascii="Times New Roman" w:hAnsi="Times New Roman" w:cs="Times New Roman"/>
          <w:sz w:val="22"/>
        </w:rPr>
        <w:footnoteReference w:id="1"/>
      </w:r>
      <w:r w:rsidRPr="00E54685">
        <w:rPr>
          <w:rFonts w:ascii="Times New Roman" w:hAnsi="Times New Roman" w:cs="Times New Roman"/>
          <w:sz w:val="22"/>
        </w:rPr>
        <w:t>.</w:t>
      </w:r>
      <w:r>
        <w:rPr>
          <w:rFonts w:ascii="Times New Roman" w:hAnsi="Times New Roman" w:cs="Times New Roman"/>
          <w:sz w:val="22"/>
        </w:rPr>
        <w:t xml:space="preserve"> </w:t>
      </w:r>
      <w:r w:rsidRPr="001A5715">
        <w:rPr>
          <w:rFonts w:ascii="Times New Roman" w:hAnsi="Times New Roman" w:cs="Times New Roman"/>
          <w:b/>
          <w:sz w:val="22"/>
        </w:rPr>
        <w:t xml:space="preserve">La Suède reste, en termes de stocks, le principal détenteur d’IDE en Finlande avec </w:t>
      </w:r>
      <w:r w:rsidR="00DA4CF8">
        <w:rPr>
          <w:rFonts w:ascii="Times New Roman" w:hAnsi="Times New Roman" w:cs="Times New Roman"/>
          <w:b/>
          <w:sz w:val="22"/>
        </w:rPr>
        <w:t>35,3</w:t>
      </w:r>
      <w:r w:rsidRPr="001A5715">
        <w:rPr>
          <w:rFonts w:ascii="Times New Roman" w:hAnsi="Times New Roman" w:cs="Times New Roman"/>
          <w:b/>
          <w:sz w:val="22"/>
        </w:rPr>
        <w:t xml:space="preserve"> Mds €</w:t>
      </w:r>
      <w:r w:rsidR="001D3970">
        <w:rPr>
          <w:rFonts w:ascii="Times New Roman" w:hAnsi="Times New Roman" w:cs="Times New Roman"/>
          <w:b/>
          <w:sz w:val="22"/>
        </w:rPr>
        <w:t>,</w:t>
      </w:r>
      <w:r w:rsidRPr="001A5715">
        <w:rPr>
          <w:rFonts w:ascii="Times New Roman" w:hAnsi="Times New Roman" w:cs="Times New Roman"/>
          <w:b/>
          <w:sz w:val="22"/>
        </w:rPr>
        <w:t xml:space="preserve"> soit </w:t>
      </w:r>
      <w:r w:rsidR="00DA4CF8">
        <w:rPr>
          <w:rFonts w:ascii="Times New Roman" w:hAnsi="Times New Roman" w:cs="Times New Roman"/>
          <w:b/>
          <w:sz w:val="22"/>
        </w:rPr>
        <w:t xml:space="preserve">46 </w:t>
      </w:r>
      <w:r w:rsidRPr="001A5715">
        <w:rPr>
          <w:rFonts w:ascii="Times New Roman" w:hAnsi="Times New Roman" w:cs="Times New Roman"/>
          <w:b/>
          <w:sz w:val="22"/>
        </w:rPr>
        <w:t xml:space="preserve">% du total. </w:t>
      </w:r>
      <w:r>
        <w:rPr>
          <w:rFonts w:ascii="Times New Roman" w:hAnsi="Times New Roman" w:cs="Times New Roman"/>
          <w:sz w:val="22"/>
        </w:rPr>
        <w:t>Suivent les Pays-Bas (</w:t>
      </w:r>
      <w:r w:rsidR="00DA4CF8">
        <w:rPr>
          <w:rFonts w:ascii="Times New Roman" w:hAnsi="Times New Roman" w:cs="Times New Roman"/>
          <w:sz w:val="22"/>
        </w:rPr>
        <w:t xml:space="preserve">12,0 Mds soit 16 </w:t>
      </w:r>
      <w:r>
        <w:rPr>
          <w:rFonts w:ascii="Times New Roman" w:hAnsi="Times New Roman" w:cs="Times New Roman"/>
          <w:sz w:val="22"/>
        </w:rPr>
        <w:t>%)</w:t>
      </w:r>
      <w:r w:rsidRPr="00E54685">
        <w:rPr>
          <w:rFonts w:ascii="Times New Roman" w:hAnsi="Times New Roman" w:cs="Times New Roman"/>
          <w:sz w:val="22"/>
        </w:rPr>
        <w:t xml:space="preserve">, </w:t>
      </w:r>
      <w:r>
        <w:rPr>
          <w:rFonts w:ascii="Times New Roman" w:hAnsi="Times New Roman" w:cs="Times New Roman"/>
          <w:sz w:val="22"/>
        </w:rPr>
        <w:t xml:space="preserve">le </w:t>
      </w:r>
      <w:r w:rsidR="00DA4CF8">
        <w:rPr>
          <w:rFonts w:ascii="Times New Roman" w:hAnsi="Times New Roman" w:cs="Times New Roman"/>
          <w:sz w:val="22"/>
        </w:rPr>
        <w:t>Luxembourg</w:t>
      </w:r>
      <w:r>
        <w:rPr>
          <w:rFonts w:ascii="Times New Roman" w:hAnsi="Times New Roman" w:cs="Times New Roman"/>
          <w:sz w:val="22"/>
        </w:rPr>
        <w:t xml:space="preserve"> (</w:t>
      </w:r>
      <w:r w:rsidR="00DA4CF8">
        <w:rPr>
          <w:rFonts w:ascii="Times New Roman" w:hAnsi="Times New Roman" w:cs="Times New Roman"/>
          <w:sz w:val="22"/>
        </w:rPr>
        <w:t>7,8 Mds soit 10</w:t>
      </w:r>
      <w:r>
        <w:rPr>
          <w:rFonts w:ascii="Times New Roman" w:hAnsi="Times New Roman" w:cs="Times New Roman"/>
          <w:sz w:val="22"/>
        </w:rPr>
        <w:t xml:space="preserve">%) et </w:t>
      </w:r>
      <w:r w:rsidR="00DA4CF8">
        <w:rPr>
          <w:rFonts w:ascii="Times New Roman" w:hAnsi="Times New Roman" w:cs="Times New Roman"/>
          <w:sz w:val="22"/>
        </w:rPr>
        <w:t>le Danemark</w:t>
      </w:r>
      <w:r>
        <w:rPr>
          <w:rFonts w:ascii="Times New Roman" w:hAnsi="Times New Roman" w:cs="Times New Roman"/>
          <w:sz w:val="22"/>
        </w:rPr>
        <w:t xml:space="preserve"> (</w:t>
      </w:r>
      <w:r w:rsidR="00DA4CF8">
        <w:rPr>
          <w:rFonts w:ascii="Times New Roman" w:hAnsi="Times New Roman" w:cs="Times New Roman"/>
          <w:sz w:val="22"/>
        </w:rPr>
        <w:t>7,4</w:t>
      </w:r>
      <w:r>
        <w:rPr>
          <w:rFonts w:ascii="Times New Roman" w:hAnsi="Times New Roman" w:cs="Times New Roman"/>
          <w:sz w:val="22"/>
        </w:rPr>
        <w:t xml:space="preserve"> Mds soit </w:t>
      </w:r>
      <w:r w:rsidR="00DA4CF8">
        <w:rPr>
          <w:rFonts w:ascii="Times New Roman" w:hAnsi="Times New Roman" w:cs="Times New Roman"/>
          <w:sz w:val="22"/>
        </w:rPr>
        <w:t xml:space="preserve">7 </w:t>
      </w:r>
      <w:r>
        <w:rPr>
          <w:rFonts w:ascii="Times New Roman" w:hAnsi="Times New Roman" w:cs="Times New Roman"/>
          <w:sz w:val="22"/>
        </w:rPr>
        <w:t>%)</w:t>
      </w:r>
      <w:r w:rsidRPr="00E54685">
        <w:rPr>
          <w:rFonts w:ascii="Times New Roman" w:hAnsi="Times New Roman" w:cs="Times New Roman"/>
          <w:sz w:val="22"/>
        </w:rPr>
        <w:t xml:space="preserve">. </w:t>
      </w:r>
      <w:r>
        <w:rPr>
          <w:rFonts w:ascii="Times New Roman" w:hAnsi="Times New Roman" w:cs="Times New Roman"/>
          <w:sz w:val="22"/>
        </w:rPr>
        <w:t xml:space="preserve">Il s’agit des statistiques établies sur la base du pays d’où les fonds sont directement transférés en Finlande. </w:t>
      </w:r>
      <w:r w:rsidRPr="00176957">
        <w:rPr>
          <w:rFonts w:ascii="Times New Roman" w:hAnsi="Times New Roman" w:cs="Times New Roman"/>
          <w:b/>
          <w:sz w:val="22"/>
        </w:rPr>
        <w:t xml:space="preserve">Sur la base de l’origine des investissements, </w:t>
      </w:r>
      <w:r w:rsidR="00145FFC" w:rsidRPr="00176957">
        <w:rPr>
          <w:rFonts w:ascii="Times New Roman" w:hAnsi="Times New Roman" w:cs="Times New Roman"/>
          <w:b/>
          <w:sz w:val="22"/>
        </w:rPr>
        <w:t>la Chine et les Etats-Unis,</w:t>
      </w:r>
      <w:r w:rsidRPr="00176957">
        <w:rPr>
          <w:rFonts w:ascii="Times New Roman" w:hAnsi="Times New Roman" w:cs="Times New Roman"/>
          <w:b/>
          <w:sz w:val="22"/>
        </w:rPr>
        <w:t xml:space="preserve"> avec </w:t>
      </w:r>
      <w:r w:rsidR="00145FFC" w:rsidRPr="00176957">
        <w:rPr>
          <w:rFonts w:ascii="Times New Roman" w:hAnsi="Times New Roman" w:cs="Times New Roman"/>
          <w:b/>
          <w:sz w:val="22"/>
        </w:rPr>
        <w:t xml:space="preserve">respectivement 7,4 Mds € et </w:t>
      </w:r>
      <w:r w:rsidRPr="00176957">
        <w:rPr>
          <w:rFonts w:ascii="Times New Roman" w:hAnsi="Times New Roman" w:cs="Times New Roman"/>
          <w:b/>
          <w:sz w:val="22"/>
        </w:rPr>
        <w:t>5,2 Mds</w:t>
      </w:r>
      <w:r w:rsidR="00145FFC" w:rsidRPr="00176957">
        <w:rPr>
          <w:rFonts w:ascii="Times New Roman" w:hAnsi="Times New Roman" w:cs="Times New Roman"/>
          <w:b/>
          <w:sz w:val="22"/>
        </w:rPr>
        <w:t xml:space="preserve"> €, jouent un rôle plus important.</w:t>
      </w:r>
      <w:r w:rsidR="001D3970" w:rsidRPr="00176957">
        <w:rPr>
          <w:rFonts w:ascii="Times New Roman" w:hAnsi="Times New Roman" w:cs="Times New Roman"/>
          <w:b/>
          <w:sz w:val="22"/>
        </w:rPr>
        <w:t xml:space="preserve"> </w:t>
      </w:r>
    </w:p>
    <w:p w14:paraId="7E65B621" w14:textId="383B643D" w:rsidR="009A1E3F" w:rsidRPr="001A5715" w:rsidRDefault="009A1E3F" w:rsidP="009A1E3F">
      <w:pPr>
        <w:spacing w:after="120"/>
        <w:ind w:left="567"/>
        <w:jc w:val="both"/>
        <w:rPr>
          <w:rFonts w:ascii="Times New Roman" w:hAnsi="Times New Roman" w:cs="Times New Roman"/>
          <w:b/>
          <w:sz w:val="22"/>
        </w:rPr>
      </w:pPr>
      <w:r w:rsidRPr="001A5715">
        <w:rPr>
          <w:rFonts w:ascii="Times New Roman" w:hAnsi="Times New Roman" w:cs="Times New Roman"/>
          <w:b/>
          <w:sz w:val="22"/>
        </w:rPr>
        <w:t>La France est, en 201</w:t>
      </w:r>
      <w:r w:rsidR="00DA4CF8">
        <w:rPr>
          <w:rFonts w:ascii="Times New Roman" w:hAnsi="Times New Roman" w:cs="Times New Roman"/>
          <w:b/>
          <w:sz w:val="22"/>
        </w:rPr>
        <w:t>6</w:t>
      </w:r>
      <w:r w:rsidRPr="001A5715">
        <w:rPr>
          <w:rFonts w:ascii="Times New Roman" w:hAnsi="Times New Roman" w:cs="Times New Roman"/>
          <w:b/>
          <w:sz w:val="22"/>
        </w:rPr>
        <w:t xml:space="preserve">, le </w:t>
      </w:r>
      <w:r w:rsidR="00DA4CF8">
        <w:rPr>
          <w:rFonts w:ascii="Times New Roman" w:hAnsi="Times New Roman" w:cs="Times New Roman"/>
          <w:b/>
          <w:sz w:val="22"/>
        </w:rPr>
        <w:t>7</w:t>
      </w:r>
      <w:r w:rsidRPr="001A5715">
        <w:rPr>
          <w:rFonts w:ascii="Times New Roman" w:hAnsi="Times New Roman" w:cs="Times New Roman"/>
          <w:b/>
          <w:sz w:val="22"/>
          <w:vertAlign w:val="superscript"/>
        </w:rPr>
        <w:t>ème</w:t>
      </w:r>
      <w:r w:rsidRPr="001A5715">
        <w:rPr>
          <w:rFonts w:ascii="Times New Roman" w:hAnsi="Times New Roman" w:cs="Times New Roman"/>
          <w:b/>
          <w:sz w:val="22"/>
        </w:rPr>
        <w:t xml:space="preserve"> investisseur direct en Finlande avec un stock de 1,</w:t>
      </w:r>
      <w:r w:rsidR="00DA4CF8">
        <w:rPr>
          <w:rFonts w:ascii="Times New Roman" w:hAnsi="Times New Roman" w:cs="Times New Roman"/>
          <w:b/>
          <w:sz w:val="22"/>
        </w:rPr>
        <w:t xml:space="preserve">1 Mds €, soit -4,8 </w:t>
      </w:r>
      <w:r w:rsidRPr="001A5715">
        <w:rPr>
          <w:rFonts w:ascii="Times New Roman" w:hAnsi="Times New Roman" w:cs="Times New Roman"/>
          <w:b/>
          <w:sz w:val="22"/>
        </w:rPr>
        <w:t>% par rapport à 201</w:t>
      </w:r>
      <w:r w:rsidR="00DA4CF8">
        <w:rPr>
          <w:rFonts w:ascii="Times New Roman" w:hAnsi="Times New Roman" w:cs="Times New Roman"/>
          <w:b/>
          <w:sz w:val="22"/>
        </w:rPr>
        <w:t>5</w:t>
      </w:r>
      <w:r w:rsidRPr="001A5715">
        <w:rPr>
          <w:rFonts w:ascii="Times New Roman" w:hAnsi="Times New Roman" w:cs="Times New Roman"/>
          <w:b/>
          <w:sz w:val="22"/>
        </w:rPr>
        <w:t xml:space="preserve"> (</w:t>
      </w:r>
      <w:r w:rsidR="00DA4CF8">
        <w:rPr>
          <w:rFonts w:ascii="Times New Roman" w:hAnsi="Times New Roman" w:cs="Times New Roman"/>
          <w:b/>
          <w:sz w:val="22"/>
        </w:rPr>
        <w:t>8</w:t>
      </w:r>
      <w:r w:rsidRPr="001A5715">
        <w:rPr>
          <w:rFonts w:ascii="Times New Roman" w:hAnsi="Times New Roman" w:cs="Times New Roman"/>
          <w:b/>
          <w:sz w:val="22"/>
          <w:vertAlign w:val="superscript"/>
        </w:rPr>
        <w:t>ème</w:t>
      </w:r>
      <w:r w:rsidRPr="001A5715">
        <w:rPr>
          <w:rFonts w:ascii="Times New Roman" w:hAnsi="Times New Roman" w:cs="Times New Roman"/>
          <w:b/>
          <w:sz w:val="22"/>
        </w:rPr>
        <w:t xml:space="preserve"> place avec un stock de </w:t>
      </w:r>
      <w:r w:rsidR="00DA4CF8">
        <w:rPr>
          <w:rFonts w:ascii="Times New Roman" w:hAnsi="Times New Roman" w:cs="Times New Roman"/>
          <w:b/>
          <w:sz w:val="22"/>
        </w:rPr>
        <w:t>1,2 M</w:t>
      </w:r>
      <w:r w:rsidRPr="001A5715">
        <w:rPr>
          <w:rFonts w:ascii="Times New Roman" w:hAnsi="Times New Roman" w:cs="Times New Roman"/>
          <w:b/>
          <w:sz w:val="22"/>
        </w:rPr>
        <w:t>d</w:t>
      </w:r>
      <w:r w:rsidR="00DA4CF8">
        <w:rPr>
          <w:rFonts w:ascii="Times New Roman" w:hAnsi="Times New Roman" w:cs="Times New Roman"/>
          <w:b/>
          <w:sz w:val="22"/>
        </w:rPr>
        <w:t>s</w:t>
      </w:r>
      <w:r w:rsidRPr="001A5715">
        <w:rPr>
          <w:rFonts w:ascii="Times New Roman" w:hAnsi="Times New Roman" w:cs="Times New Roman"/>
          <w:b/>
          <w:sz w:val="22"/>
        </w:rPr>
        <w:t xml:space="preserve"> €).</w:t>
      </w:r>
    </w:p>
    <w:p w14:paraId="3B3551D3" w14:textId="3E67C88F" w:rsidR="009A1E3F" w:rsidRPr="00E54685" w:rsidRDefault="009A1E3F" w:rsidP="009A1E3F">
      <w:pPr>
        <w:spacing w:after="120"/>
        <w:ind w:left="567"/>
        <w:jc w:val="both"/>
        <w:rPr>
          <w:rFonts w:ascii="Times New Roman" w:hAnsi="Times New Roman" w:cs="Times New Roman"/>
          <w:sz w:val="22"/>
        </w:rPr>
      </w:pPr>
      <w:r w:rsidRPr="00E54685">
        <w:rPr>
          <w:rFonts w:ascii="Times New Roman" w:hAnsi="Times New Roman" w:cs="Times New Roman"/>
          <w:sz w:val="22"/>
        </w:rPr>
        <w:t>Par industrie, les IDE entrants en 201</w:t>
      </w:r>
      <w:r w:rsidR="00D308B0">
        <w:rPr>
          <w:rFonts w:ascii="Times New Roman" w:hAnsi="Times New Roman" w:cs="Times New Roman"/>
          <w:sz w:val="22"/>
        </w:rPr>
        <w:t>6</w:t>
      </w:r>
      <w:r w:rsidRPr="00E54685">
        <w:rPr>
          <w:rFonts w:ascii="Times New Roman" w:hAnsi="Times New Roman" w:cs="Times New Roman"/>
          <w:sz w:val="22"/>
        </w:rPr>
        <w:t xml:space="preserve"> </w:t>
      </w:r>
      <w:r>
        <w:rPr>
          <w:rFonts w:ascii="Times New Roman" w:hAnsi="Times New Roman" w:cs="Times New Roman"/>
          <w:sz w:val="22"/>
        </w:rPr>
        <w:t xml:space="preserve">ont principalement pour </w:t>
      </w:r>
      <w:r w:rsidR="00D308B0">
        <w:rPr>
          <w:rFonts w:ascii="Times New Roman" w:hAnsi="Times New Roman" w:cs="Times New Roman"/>
          <w:sz w:val="22"/>
        </w:rPr>
        <w:t>destination le secteur des services (66 %), celui de la finance (31 %)</w:t>
      </w:r>
      <w:r>
        <w:rPr>
          <w:rFonts w:ascii="Times New Roman" w:hAnsi="Times New Roman" w:cs="Times New Roman"/>
          <w:sz w:val="22"/>
        </w:rPr>
        <w:t xml:space="preserve"> </w:t>
      </w:r>
      <w:r w:rsidR="00D308B0">
        <w:rPr>
          <w:rFonts w:ascii="Times New Roman" w:hAnsi="Times New Roman" w:cs="Times New Roman"/>
          <w:sz w:val="22"/>
        </w:rPr>
        <w:t>et l’industrie métallurgique (12 %).</w:t>
      </w:r>
    </w:p>
    <w:p w14:paraId="0790E040" w14:textId="57F0BF25" w:rsidR="009A1E3F" w:rsidRDefault="009A1E3F" w:rsidP="009A1E3F">
      <w:pPr>
        <w:spacing w:after="120"/>
        <w:ind w:left="567"/>
        <w:jc w:val="both"/>
        <w:rPr>
          <w:rFonts w:ascii="Times New Roman" w:hAnsi="Times New Roman" w:cs="Times New Roman"/>
          <w:sz w:val="22"/>
        </w:rPr>
      </w:pPr>
      <w:r w:rsidRPr="00E54685">
        <w:rPr>
          <w:rFonts w:ascii="Times New Roman" w:hAnsi="Times New Roman" w:cs="Times New Roman"/>
          <w:sz w:val="22"/>
        </w:rPr>
        <w:t>Les IDE entrants ont généré des revenus de</w:t>
      </w:r>
      <w:r w:rsidR="003C2B94">
        <w:rPr>
          <w:rFonts w:ascii="Times New Roman" w:hAnsi="Times New Roman" w:cs="Times New Roman"/>
          <w:sz w:val="22"/>
        </w:rPr>
        <w:t xml:space="preserve"> 5,2</w:t>
      </w:r>
      <w:r>
        <w:rPr>
          <w:rFonts w:ascii="Times New Roman" w:hAnsi="Times New Roman" w:cs="Times New Roman"/>
          <w:sz w:val="22"/>
        </w:rPr>
        <w:t xml:space="preserve"> M</w:t>
      </w:r>
      <w:r w:rsidRPr="00E54685">
        <w:rPr>
          <w:rFonts w:ascii="Times New Roman" w:hAnsi="Times New Roman" w:cs="Times New Roman"/>
          <w:sz w:val="22"/>
        </w:rPr>
        <w:t>ds € pour les investisseurs étrangers en 201</w:t>
      </w:r>
      <w:r w:rsidR="003C2B94">
        <w:rPr>
          <w:rFonts w:ascii="Times New Roman" w:hAnsi="Times New Roman" w:cs="Times New Roman"/>
          <w:sz w:val="22"/>
        </w:rPr>
        <w:t>6</w:t>
      </w:r>
      <w:r w:rsidRPr="00E54685">
        <w:rPr>
          <w:rFonts w:ascii="Times New Roman" w:hAnsi="Times New Roman" w:cs="Times New Roman"/>
          <w:sz w:val="22"/>
        </w:rPr>
        <w:t xml:space="preserve">. </w:t>
      </w:r>
      <w:r>
        <w:rPr>
          <w:rFonts w:ascii="Times New Roman" w:hAnsi="Times New Roman" w:cs="Times New Roman"/>
          <w:sz w:val="22"/>
        </w:rPr>
        <w:t xml:space="preserve">La rentabilité des investissements est </w:t>
      </w:r>
      <w:r w:rsidR="00487B96">
        <w:rPr>
          <w:rFonts w:ascii="Times New Roman" w:hAnsi="Times New Roman" w:cs="Times New Roman"/>
          <w:sz w:val="22"/>
        </w:rPr>
        <w:t>supérieure</w:t>
      </w:r>
      <w:r>
        <w:rPr>
          <w:rFonts w:ascii="Times New Roman" w:hAnsi="Times New Roman" w:cs="Times New Roman"/>
          <w:sz w:val="22"/>
        </w:rPr>
        <w:t xml:space="preserve"> aux</w:t>
      </w:r>
      <w:r w:rsidRPr="00E54685">
        <w:rPr>
          <w:rFonts w:ascii="Times New Roman" w:hAnsi="Times New Roman" w:cs="Times New Roman"/>
          <w:sz w:val="22"/>
        </w:rPr>
        <w:t xml:space="preserve"> niveaux des années précédentes : </w:t>
      </w:r>
      <w:r w:rsidR="00487B96">
        <w:rPr>
          <w:rFonts w:ascii="Times New Roman" w:hAnsi="Times New Roman" w:cs="Times New Roman"/>
          <w:sz w:val="22"/>
        </w:rPr>
        <w:t>7</w:t>
      </w:r>
      <w:r w:rsidR="00EE7599">
        <w:rPr>
          <w:rFonts w:ascii="Times New Roman" w:hAnsi="Times New Roman" w:cs="Times New Roman"/>
          <w:sz w:val="22"/>
        </w:rPr>
        <w:t xml:space="preserve"> </w:t>
      </w:r>
      <w:r>
        <w:rPr>
          <w:rFonts w:ascii="Times New Roman" w:hAnsi="Times New Roman" w:cs="Times New Roman"/>
          <w:sz w:val="22"/>
        </w:rPr>
        <w:t>% en 201</w:t>
      </w:r>
      <w:r w:rsidR="00487B96">
        <w:rPr>
          <w:rFonts w:ascii="Times New Roman" w:hAnsi="Times New Roman" w:cs="Times New Roman"/>
          <w:sz w:val="22"/>
        </w:rPr>
        <w:t>6</w:t>
      </w:r>
      <w:r w:rsidRPr="00E54685">
        <w:rPr>
          <w:rFonts w:ascii="Times New Roman" w:hAnsi="Times New Roman" w:cs="Times New Roman"/>
          <w:sz w:val="22"/>
        </w:rPr>
        <w:t xml:space="preserve"> contre </w:t>
      </w:r>
      <w:r w:rsidR="00487B96">
        <w:rPr>
          <w:rFonts w:ascii="Times New Roman" w:hAnsi="Times New Roman" w:cs="Times New Roman"/>
          <w:sz w:val="22"/>
        </w:rPr>
        <w:t>5</w:t>
      </w:r>
      <w:r w:rsidR="00EE7599">
        <w:rPr>
          <w:rFonts w:ascii="Times New Roman" w:hAnsi="Times New Roman" w:cs="Times New Roman"/>
          <w:sz w:val="22"/>
        </w:rPr>
        <w:t xml:space="preserve"> </w:t>
      </w:r>
      <w:r w:rsidRPr="00E54685">
        <w:rPr>
          <w:rFonts w:ascii="Times New Roman" w:hAnsi="Times New Roman" w:cs="Times New Roman"/>
          <w:sz w:val="22"/>
        </w:rPr>
        <w:t xml:space="preserve">% en </w:t>
      </w:r>
      <w:r>
        <w:rPr>
          <w:rFonts w:ascii="Times New Roman" w:hAnsi="Times New Roman" w:cs="Times New Roman"/>
          <w:sz w:val="22"/>
        </w:rPr>
        <w:t>201</w:t>
      </w:r>
      <w:r w:rsidR="00487B96">
        <w:rPr>
          <w:rFonts w:ascii="Times New Roman" w:hAnsi="Times New Roman" w:cs="Times New Roman"/>
          <w:sz w:val="22"/>
        </w:rPr>
        <w:t>5</w:t>
      </w:r>
      <w:r w:rsidRPr="00E54685">
        <w:rPr>
          <w:rFonts w:ascii="Times New Roman" w:hAnsi="Times New Roman" w:cs="Times New Roman"/>
          <w:sz w:val="22"/>
        </w:rPr>
        <w:t>.</w:t>
      </w:r>
    </w:p>
    <w:p w14:paraId="6FB6E2DE" w14:textId="05620109" w:rsidR="00377D40" w:rsidRDefault="00DA682E" w:rsidP="00DA682E">
      <w:pPr>
        <w:spacing w:before="120" w:after="120"/>
        <w:ind w:left="567"/>
        <w:jc w:val="center"/>
        <w:rPr>
          <w:rFonts w:ascii="Times New Roman" w:hAnsi="Times New Roman" w:cs="Times New Roman"/>
          <w:color w:val="000000"/>
          <w:sz w:val="22"/>
          <w:szCs w:val="22"/>
        </w:rPr>
      </w:pPr>
      <w:r>
        <w:rPr>
          <w:noProof/>
        </w:rPr>
        <w:lastRenderedPageBreak/>
        <w:drawing>
          <wp:inline distT="0" distB="0" distL="0" distR="0" wp14:anchorId="1BCE5E5C" wp14:editId="533099CC">
            <wp:extent cx="4638675" cy="2790825"/>
            <wp:effectExtent l="0" t="0" r="9525"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B2FB14" w14:textId="3FE26E64" w:rsidR="00A62E21" w:rsidRDefault="00A62E21" w:rsidP="00A62E21">
      <w:pPr>
        <w:spacing w:after="120"/>
        <w:ind w:left="567"/>
        <w:jc w:val="both"/>
        <w:rPr>
          <w:rFonts w:ascii="Times New Roman" w:hAnsi="Times New Roman" w:cs="Times New Roman"/>
          <w:sz w:val="22"/>
        </w:rPr>
      </w:pPr>
      <w:r>
        <w:rPr>
          <w:rFonts w:ascii="Times New Roman" w:hAnsi="Times New Roman" w:cs="Times New Roman"/>
          <w:sz w:val="22"/>
        </w:rPr>
        <w:t>Selon Fin</w:t>
      </w:r>
      <w:r w:rsidRPr="00E54685">
        <w:rPr>
          <w:rFonts w:ascii="Times New Roman" w:hAnsi="Times New Roman" w:cs="Times New Roman"/>
          <w:sz w:val="22"/>
        </w:rPr>
        <w:t>pro,</w:t>
      </w:r>
      <w:r>
        <w:rPr>
          <w:rFonts w:ascii="Times New Roman" w:hAnsi="Times New Roman" w:cs="Times New Roman"/>
          <w:sz w:val="22"/>
        </w:rPr>
        <w:t xml:space="preserve"> l’agence finlandaise d’accompagnement à l’internationalisation des entreprises,</w:t>
      </w:r>
      <w:r w:rsidRPr="00E54685">
        <w:rPr>
          <w:rFonts w:ascii="Times New Roman" w:hAnsi="Times New Roman" w:cs="Times New Roman"/>
          <w:sz w:val="22"/>
        </w:rPr>
        <w:t xml:space="preserve"> </w:t>
      </w:r>
      <w:r>
        <w:rPr>
          <w:rFonts w:ascii="Times New Roman" w:hAnsi="Times New Roman" w:cs="Times New Roman"/>
          <w:sz w:val="22"/>
        </w:rPr>
        <w:t xml:space="preserve">270 </w:t>
      </w:r>
      <w:r w:rsidRPr="00E54685">
        <w:rPr>
          <w:rFonts w:ascii="Times New Roman" w:hAnsi="Times New Roman" w:cs="Times New Roman"/>
          <w:sz w:val="22"/>
        </w:rPr>
        <w:t xml:space="preserve">nouvelles entreprises détenues par des </w:t>
      </w:r>
      <w:r>
        <w:rPr>
          <w:rFonts w:ascii="Times New Roman" w:hAnsi="Times New Roman" w:cs="Times New Roman"/>
          <w:sz w:val="22"/>
        </w:rPr>
        <w:t>investisseurs</w:t>
      </w:r>
      <w:r w:rsidRPr="00E54685">
        <w:rPr>
          <w:rFonts w:ascii="Times New Roman" w:hAnsi="Times New Roman" w:cs="Times New Roman"/>
          <w:sz w:val="22"/>
        </w:rPr>
        <w:t xml:space="preserve"> étrangers se sont installées en Finlande en 201</w:t>
      </w:r>
      <w:r>
        <w:rPr>
          <w:rFonts w:ascii="Times New Roman" w:hAnsi="Times New Roman" w:cs="Times New Roman"/>
          <w:sz w:val="22"/>
        </w:rPr>
        <w:t>6,</w:t>
      </w:r>
      <w:r w:rsidRPr="00E54685">
        <w:rPr>
          <w:rFonts w:ascii="Times New Roman" w:hAnsi="Times New Roman" w:cs="Times New Roman"/>
          <w:sz w:val="22"/>
        </w:rPr>
        <w:t xml:space="preserve"> contre 2</w:t>
      </w:r>
      <w:r>
        <w:rPr>
          <w:rFonts w:ascii="Times New Roman" w:hAnsi="Times New Roman" w:cs="Times New Roman"/>
          <w:sz w:val="22"/>
        </w:rPr>
        <w:t>65</w:t>
      </w:r>
      <w:r w:rsidRPr="00E54685">
        <w:rPr>
          <w:rFonts w:ascii="Times New Roman" w:hAnsi="Times New Roman" w:cs="Times New Roman"/>
          <w:sz w:val="22"/>
        </w:rPr>
        <w:t xml:space="preserve"> en 201</w:t>
      </w:r>
      <w:r>
        <w:rPr>
          <w:rFonts w:ascii="Times New Roman" w:hAnsi="Times New Roman" w:cs="Times New Roman"/>
          <w:sz w:val="22"/>
        </w:rPr>
        <w:t>5, dont 176 par des opérations de fusion et acquisition</w:t>
      </w:r>
      <w:r w:rsidRPr="00E54685">
        <w:rPr>
          <w:rFonts w:ascii="Times New Roman" w:hAnsi="Times New Roman" w:cs="Times New Roman"/>
          <w:sz w:val="22"/>
        </w:rPr>
        <w:t>. Selon Statistique</w:t>
      </w:r>
      <w:r>
        <w:rPr>
          <w:rFonts w:ascii="Times New Roman" w:hAnsi="Times New Roman" w:cs="Times New Roman"/>
          <w:sz w:val="22"/>
        </w:rPr>
        <w:t>s</w:t>
      </w:r>
      <w:r w:rsidRPr="00E54685">
        <w:rPr>
          <w:rFonts w:ascii="Times New Roman" w:hAnsi="Times New Roman" w:cs="Times New Roman"/>
          <w:sz w:val="22"/>
        </w:rPr>
        <w:t xml:space="preserve"> Finlande, </w:t>
      </w:r>
      <w:r w:rsidRPr="005269C8">
        <w:rPr>
          <w:rFonts w:ascii="Times New Roman" w:hAnsi="Times New Roman" w:cs="Times New Roman"/>
          <w:b/>
          <w:sz w:val="22"/>
        </w:rPr>
        <w:t>les filiales étrangères en Finlande étaient, en 201</w:t>
      </w:r>
      <w:r>
        <w:rPr>
          <w:rFonts w:ascii="Times New Roman" w:hAnsi="Times New Roman" w:cs="Times New Roman"/>
          <w:b/>
          <w:sz w:val="22"/>
        </w:rPr>
        <w:t>6</w:t>
      </w:r>
      <w:r w:rsidRPr="005269C8">
        <w:rPr>
          <w:rFonts w:ascii="Times New Roman" w:hAnsi="Times New Roman" w:cs="Times New Roman"/>
          <w:b/>
          <w:sz w:val="22"/>
        </w:rPr>
        <w:t>, au nombre de 4</w:t>
      </w:r>
      <w:r>
        <w:rPr>
          <w:rFonts w:ascii="Times New Roman" w:hAnsi="Times New Roman" w:cs="Times New Roman"/>
          <w:b/>
          <w:sz w:val="22"/>
        </w:rPr>
        <w:t xml:space="preserve"> 571</w:t>
      </w:r>
      <w:r w:rsidRPr="005269C8">
        <w:rPr>
          <w:rFonts w:ascii="Times New Roman" w:hAnsi="Times New Roman" w:cs="Times New Roman"/>
          <w:b/>
          <w:sz w:val="22"/>
        </w:rPr>
        <w:t>(4</w:t>
      </w:r>
      <w:r>
        <w:rPr>
          <w:rFonts w:ascii="Times New Roman" w:hAnsi="Times New Roman" w:cs="Times New Roman"/>
          <w:b/>
          <w:sz w:val="22"/>
        </w:rPr>
        <w:t xml:space="preserve"> 427 en 2015</w:t>
      </w:r>
      <w:r w:rsidRPr="005269C8">
        <w:rPr>
          <w:rFonts w:ascii="Times New Roman" w:hAnsi="Times New Roman" w:cs="Times New Roman"/>
          <w:b/>
          <w:sz w:val="22"/>
        </w:rPr>
        <w:t>) et employaient près de 2</w:t>
      </w:r>
      <w:r>
        <w:rPr>
          <w:rFonts w:ascii="Times New Roman" w:hAnsi="Times New Roman" w:cs="Times New Roman"/>
          <w:b/>
          <w:sz w:val="22"/>
        </w:rPr>
        <w:t>43 35</w:t>
      </w:r>
      <w:r w:rsidRPr="005269C8">
        <w:rPr>
          <w:rFonts w:ascii="Times New Roman" w:hAnsi="Times New Roman" w:cs="Times New Roman"/>
          <w:b/>
          <w:sz w:val="22"/>
        </w:rPr>
        <w:t>0 perso</w:t>
      </w:r>
      <w:r>
        <w:rPr>
          <w:rFonts w:ascii="Times New Roman" w:hAnsi="Times New Roman" w:cs="Times New Roman"/>
          <w:b/>
          <w:sz w:val="22"/>
        </w:rPr>
        <w:t>nnes (242 000 en 2015), soit 17 </w:t>
      </w:r>
      <w:r w:rsidRPr="005269C8">
        <w:rPr>
          <w:rFonts w:ascii="Times New Roman" w:hAnsi="Times New Roman" w:cs="Times New Roman"/>
          <w:b/>
          <w:sz w:val="22"/>
        </w:rPr>
        <w:t>% des salariés en Finlande, pour un ch</w:t>
      </w:r>
      <w:r>
        <w:rPr>
          <w:rFonts w:ascii="Times New Roman" w:hAnsi="Times New Roman" w:cs="Times New Roman"/>
          <w:b/>
          <w:sz w:val="22"/>
        </w:rPr>
        <w:t>iffre d’affaires global de 84,7 Mds € (86M</w:t>
      </w:r>
      <w:r w:rsidRPr="005269C8">
        <w:rPr>
          <w:rFonts w:ascii="Times New Roman" w:hAnsi="Times New Roman" w:cs="Times New Roman"/>
          <w:b/>
          <w:sz w:val="22"/>
        </w:rPr>
        <w:t>ds</w:t>
      </w:r>
      <w:r>
        <w:rPr>
          <w:rFonts w:ascii="Times New Roman" w:hAnsi="Times New Roman" w:cs="Times New Roman"/>
          <w:b/>
          <w:sz w:val="22"/>
        </w:rPr>
        <w:t xml:space="preserve"> € en 2015), ce qui représente </w:t>
      </w:r>
      <w:r w:rsidRPr="005269C8">
        <w:rPr>
          <w:rFonts w:ascii="Times New Roman" w:hAnsi="Times New Roman" w:cs="Times New Roman"/>
          <w:b/>
          <w:sz w:val="22"/>
        </w:rPr>
        <w:t>2</w:t>
      </w:r>
      <w:r>
        <w:rPr>
          <w:rFonts w:ascii="Times New Roman" w:hAnsi="Times New Roman" w:cs="Times New Roman"/>
          <w:b/>
          <w:sz w:val="22"/>
        </w:rPr>
        <w:t>2</w:t>
      </w:r>
      <w:r w:rsidRPr="005269C8">
        <w:rPr>
          <w:rFonts w:ascii="Times New Roman" w:hAnsi="Times New Roman" w:cs="Times New Roman"/>
          <w:b/>
          <w:sz w:val="22"/>
        </w:rPr>
        <w:t xml:space="preserve"> % du CA total des entreprises finlandaises</w:t>
      </w:r>
      <w:r w:rsidRPr="00E54685">
        <w:rPr>
          <w:rFonts w:ascii="Times New Roman" w:hAnsi="Times New Roman" w:cs="Times New Roman"/>
          <w:sz w:val="22"/>
        </w:rPr>
        <w:t>.</w:t>
      </w:r>
      <w:r>
        <w:rPr>
          <w:rFonts w:ascii="Times New Roman" w:hAnsi="Times New Roman" w:cs="Times New Roman"/>
          <w:sz w:val="22"/>
        </w:rPr>
        <w:t xml:space="preserve"> </w:t>
      </w:r>
      <w:r w:rsidRPr="00777A26">
        <w:rPr>
          <w:rFonts w:ascii="Times New Roman" w:hAnsi="Times New Roman" w:cs="Times New Roman"/>
          <w:sz w:val="22"/>
        </w:rPr>
        <w:t xml:space="preserve">La Suède, avec </w:t>
      </w:r>
      <w:r>
        <w:rPr>
          <w:rFonts w:ascii="Times New Roman" w:hAnsi="Times New Roman" w:cs="Times New Roman"/>
          <w:sz w:val="22"/>
        </w:rPr>
        <w:t xml:space="preserve">1015 </w:t>
      </w:r>
      <w:r w:rsidRPr="00777A26">
        <w:rPr>
          <w:rFonts w:ascii="Times New Roman" w:hAnsi="Times New Roman" w:cs="Times New Roman"/>
          <w:sz w:val="22"/>
        </w:rPr>
        <w:t xml:space="preserve">sociétés employant </w:t>
      </w:r>
      <w:r>
        <w:rPr>
          <w:rFonts w:ascii="Times New Roman" w:hAnsi="Times New Roman" w:cs="Times New Roman"/>
          <w:sz w:val="22"/>
        </w:rPr>
        <w:t xml:space="preserve">86 368 </w:t>
      </w:r>
      <w:r w:rsidRPr="00777A26">
        <w:rPr>
          <w:rFonts w:ascii="Times New Roman" w:hAnsi="Times New Roman" w:cs="Times New Roman"/>
          <w:sz w:val="22"/>
        </w:rPr>
        <w:t>personnes, reste le principal employeur étranger. Viennent ensuite les Etats-Unis (</w:t>
      </w:r>
      <w:r>
        <w:rPr>
          <w:rFonts w:ascii="Times New Roman" w:hAnsi="Times New Roman" w:cs="Times New Roman"/>
          <w:sz w:val="22"/>
        </w:rPr>
        <w:t xml:space="preserve">483 </w:t>
      </w:r>
      <w:r w:rsidRPr="00777A26">
        <w:rPr>
          <w:rFonts w:ascii="Times New Roman" w:hAnsi="Times New Roman" w:cs="Times New Roman"/>
          <w:sz w:val="22"/>
        </w:rPr>
        <w:t xml:space="preserve">sociétés,  </w:t>
      </w:r>
      <w:r>
        <w:rPr>
          <w:rFonts w:ascii="Times New Roman" w:hAnsi="Times New Roman" w:cs="Times New Roman"/>
          <w:sz w:val="22"/>
        </w:rPr>
        <w:t>25 581 employés) puis l’</w:t>
      </w:r>
      <w:r w:rsidRPr="00777A26">
        <w:rPr>
          <w:rFonts w:ascii="Times New Roman" w:hAnsi="Times New Roman" w:cs="Times New Roman"/>
          <w:sz w:val="22"/>
        </w:rPr>
        <w:t>Allemagne (</w:t>
      </w:r>
      <w:r>
        <w:rPr>
          <w:rFonts w:ascii="Times New Roman" w:hAnsi="Times New Roman" w:cs="Times New Roman"/>
          <w:sz w:val="22"/>
        </w:rPr>
        <w:t>350</w:t>
      </w:r>
      <w:r w:rsidRPr="00777A26">
        <w:rPr>
          <w:rFonts w:ascii="Times New Roman" w:hAnsi="Times New Roman" w:cs="Times New Roman"/>
          <w:sz w:val="22"/>
        </w:rPr>
        <w:t xml:space="preserve"> sociétés, </w:t>
      </w:r>
      <w:r>
        <w:rPr>
          <w:rFonts w:ascii="Times New Roman" w:hAnsi="Times New Roman" w:cs="Times New Roman"/>
          <w:sz w:val="22"/>
        </w:rPr>
        <w:t xml:space="preserve">21 834 employés). </w:t>
      </w:r>
    </w:p>
    <w:p w14:paraId="4CA588FE" w14:textId="088BE7BD" w:rsidR="003D5ACA" w:rsidRDefault="003D5ACA" w:rsidP="00A62E21">
      <w:pPr>
        <w:spacing w:after="120"/>
        <w:ind w:left="567"/>
        <w:jc w:val="both"/>
        <w:rPr>
          <w:rFonts w:ascii="Times New Roman" w:hAnsi="Times New Roman" w:cs="Times New Roman"/>
          <w:sz w:val="22"/>
        </w:rPr>
      </w:pPr>
      <w:r>
        <w:rPr>
          <w:rFonts w:ascii="Times New Roman" w:hAnsi="Times New Roman" w:cs="Times New Roman"/>
          <w:sz w:val="22"/>
        </w:rPr>
        <w:t>Le secteur de la distribution en gros et au détail compte le nombre le plus important de filiales étrangères, soit 1275. Les 571 filiales présentes dans l’industrie totalisent le plus d’</w:t>
      </w:r>
      <w:r w:rsidR="000D05D4">
        <w:rPr>
          <w:rFonts w:ascii="Times New Roman" w:hAnsi="Times New Roman" w:cs="Times New Roman"/>
          <w:sz w:val="22"/>
        </w:rPr>
        <w:t>employés (29 </w:t>
      </w:r>
      <w:r>
        <w:rPr>
          <w:rFonts w:ascii="Times New Roman" w:hAnsi="Times New Roman" w:cs="Times New Roman"/>
          <w:sz w:val="22"/>
        </w:rPr>
        <w:t>% du total) et</w:t>
      </w:r>
      <w:r w:rsidR="000D05D4">
        <w:rPr>
          <w:rFonts w:ascii="Times New Roman" w:hAnsi="Times New Roman" w:cs="Times New Roman"/>
          <w:sz w:val="22"/>
        </w:rPr>
        <w:t xml:space="preserve"> de chiffre d’affaires (35 % du total).</w:t>
      </w:r>
    </w:p>
    <w:p w14:paraId="526DB735" w14:textId="34C712C8" w:rsidR="00110F90" w:rsidRPr="00B85DE0" w:rsidRDefault="00A62E21" w:rsidP="00B85DE0">
      <w:pPr>
        <w:spacing w:after="120"/>
        <w:ind w:left="567"/>
        <w:jc w:val="both"/>
        <w:rPr>
          <w:rFonts w:ascii="Times New Roman" w:hAnsi="Times New Roman" w:cs="Times New Roman"/>
          <w:sz w:val="22"/>
          <w:szCs w:val="22"/>
        </w:rPr>
      </w:pPr>
      <w:r w:rsidRPr="005269C8">
        <w:rPr>
          <w:rFonts w:ascii="Times New Roman" w:hAnsi="Times New Roman" w:cs="Times New Roman"/>
          <w:b/>
          <w:sz w:val="22"/>
        </w:rPr>
        <w:t xml:space="preserve">La France </w:t>
      </w:r>
      <w:r>
        <w:rPr>
          <w:rFonts w:ascii="Times New Roman" w:hAnsi="Times New Roman" w:cs="Times New Roman"/>
          <w:b/>
          <w:sz w:val="22"/>
        </w:rPr>
        <w:t>est</w:t>
      </w:r>
      <w:r w:rsidRPr="005269C8">
        <w:rPr>
          <w:rFonts w:ascii="Times New Roman" w:hAnsi="Times New Roman" w:cs="Times New Roman"/>
          <w:b/>
          <w:sz w:val="22"/>
        </w:rPr>
        <w:t xml:space="preserve"> en 5</w:t>
      </w:r>
      <w:r w:rsidRPr="005269C8">
        <w:rPr>
          <w:rFonts w:ascii="Times New Roman" w:hAnsi="Times New Roman" w:cs="Times New Roman"/>
          <w:b/>
          <w:sz w:val="22"/>
          <w:vertAlign w:val="superscript"/>
        </w:rPr>
        <w:t>ème</w:t>
      </w:r>
      <w:r w:rsidRPr="005269C8">
        <w:rPr>
          <w:rFonts w:ascii="Times New Roman" w:hAnsi="Times New Roman" w:cs="Times New Roman"/>
          <w:b/>
          <w:sz w:val="22"/>
        </w:rPr>
        <w:t xml:space="preserve">  posit</w:t>
      </w:r>
      <w:r>
        <w:rPr>
          <w:rFonts w:ascii="Times New Roman" w:hAnsi="Times New Roman" w:cs="Times New Roman"/>
          <w:b/>
          <w:sz w:val="22"/>
        </w:rPr>
        <w:t xml:space="preserve">ion en </w:t>
      </w:r>
      <w:r w:rsidRPr="00A62E21">
        <w:rPr>
          <w:rFonts w:ascii="Times New Roman" w:hAnsi="Times New Roman" w:cs="Times New Roman"/>
          <w:b/>
          <w:sz w:val="22"/>
          <w:szCs w:val="22"/>
        </w:rPr>
        <w:t>termes d’employés (12</w:t>
      </w:r>
      <w:r>
        <w:rPr>
          <w:rFonts w:ascii="Times New Roman" w:hAnsi="Times New Roman" w:cs="Times New Roman"/>
          <w:b/>
          <w:sz w:val="22"/>
          <w:szCs w:val="22"/>
        </w:rPr>
        <w:t> </w:t>
      </w:r>
      <w:r w:rsidRPr="00A62E21">
        <w:rPr>
          <w:rFonts w:ascii="Times New Roman" w:hAnsi="Times New Roman" w:cs="Times New Roman"/>
          <w:b/>
          <w:sz w:val="22"/>
          <w:szCs w:val="22"/>
        </w:rPr>
        <w:t>739), en 7</w:t>
      </w:r>
      <w:r w:rsidRPr="00A62E21">
        <w:rPr>
          <w:rFonts w:ascii="Times New Roman" w:hAnsi="Times New Roman" w:cs="Times New Roman"/>
          <w:b/>
          <w:sz w:val="22"/>
          <w:szCs w:val="22"/>
          <w:vertAlign w:val="superscript"/>
        </w:rPr>
        <w:t>ème</w:t>
      </w:r>
      <w:r w:rsidRPr="00A62E21">
        <w:rPr>
          <w:rFonts w:ascii="Times New Roman" w:hAnsi="Times New Roman" w:cs="Times New Roman"/>
          <w:b/>
          <w:sz w:val="22"/>
          <w:szCs w:val="22"/>
        </w:rPr>
        <w:t xml:space="preserve"> position en nombre de filiales et de chiffre d’affaires (146 filiales pour un CA de 3,7 Mds € en 2015).</w:t>
      </w:r>
      <w:r w:rsidRPr="00A62E21">
        <w:rPr>
          <w:rFonts w:ascii="Times New Roman" w:hAnsi="Times New Roman" w:cs="Times New Roman"/>
          <w:sz w:val="22"/>
          <w:szCs w:val="22"/>
        </w:rPr>
        <w:t xml:space="preserve"> Le nombre d</w:t>
      </w:r>
      <w:r>
        <w:rPr>
          <w:rFonts w:ascii="Times New Roman" w:hAnsi="Times New Roman" w:cs="Times New Roman"/>
          <w:sz w:val="22"/>
          <w:szCs w:val="22"/>
        </w:rPr>
        <w:t>’entreprises et le chiffre</w:t>
      </w:r>
      <w:r w:rsidRPr="00A62E21">
        <w:rPr>
          <w:rFonts w:ascii="Times New Roman" w:hAnsi="Times New Roman" w:cs="Times New Roman"/>
          <w:sz w:val="22"/>
          <w:szCs w:val="22"/>
        </w:rPr>
        <w:t xml:space="preserve"> d’affaires sont très légèrement en hausse mais le nombre d’employés a évolué à la baisse (13</w:t>
      </w:r>
      <w:r>
        <w:rPr>
          <w:rFonts w:ascii="Times New Roman" w:hAnsi="Times New Roman" w:cs="Times New Roman"/>
          <w:sz w:val="22"/>
          <w:szCs w:val="22"/>
        </w:rPr>
        <w:t> </w:t>
      </w:r>
      <w:r w:rsidR="000D05D4">
        <w:rPr>
          <w:rFonts w:ascii="Times New Roman" w:hAnsi="Times New Roman" w:cs="Times New Roman"/>
          <w:sz w:val="22"/>
          <w:szCs w:val="22"/>
        </w:rPr>
        <w:t xml:space="preserve">411 en 2015). </w:t>
      </w:r>
    </w:p>
    <w:p w14:paraId="31C07F3A" w14:textId="224B1EA4" w:rsidR="00110F90" w:rsidRPr="00D94B0B" w:rsidRDefault="00487B96" w:rsidP="00D94B0B">
      <w:pPr>
        <w:pStyle w:val="Paragraphedeliste"/>
        <w:numPr>
          <w:ilvl w:val="0"/>
          <w:numId w:val="23"/>
        </w:numPr>
        <w:spacing w:before="120" w:after="120"/>
        <w:jc w:val="both"/>
        <w:rPr>
          <w:rFonts w:ascii="Times New Roman" w:eastAsia="Calibri" w:hAnsi="Times New Roman" w:cs="Times New Roman"/>
          <w:b/>
          <w:sz w:val="22"/>
          <w:szCs w:val="22"/>
          <w:u w:val="single"/>
          <w:lang w:eastAsia="en-US"/>
        </w:rPr>
      </w:pPr>
      <w:r>
        <w:rPr>
          <w:rFonts w:ascii="Times New Roman" w:eastAsia="Calibri" w:hAnsi="Times New Roman" w:cs="Times New Roman"/>
          <w:b/>
          <w:sz w:val="22"/>
          <w:szCs w:val="22"/>
          <w:u w:val="single"/>
          <w:lang w:eastAsia="en-US"/>
        </w:rPr>
        <w:t>Les IDE sortants augmentent en 2016</w:t>
      </w:r>
      <w:r w:rsidR="001B7482">
        <w:rPr>
          <w:rFonts w:ascii="Times New Roman" w:eastAsia="Calibri" w:hAnsi="Times New Roman" w:cs="Times New Roman"/>
          <w:b/>
          <w:sz w:val="22"/>
          <w:szCs w:val="22"/>
          <w:u w:val="single"/>
          <w:lang w:eastAsia="en-US"/>
        </w:rPr>
        <w:t>.</w:t>
      </w:r>
    </w:p>
    <w:p w14:paraId="16D2E048" w14:textId="7AC6E1D9" w:rsidR="00487B96" w:rsidRDefault="00487B96" w:rsidP="00451322">
      <w:pPr>
        <w:spacing w:after="120"/>
        <w:ind w:left="567"/>
        <w:jc w:val="both"/>
        <w:rPr>
          <w:rFonts w:ascii="Times New Roman" w:hAnsi="Times New Roman" w:cs="Times New Roman"/>
          <w:sz w:val="22"/>
        </w:rPr>
      </w:pPr>
      <w:r w:rsidRPr="00487B96">
        <w:rPr>
          <w:rFonts w:ascii="Times New Roman" w:hAnsi="Times New Roman" w:cs="Times New Roman"/>
          <w:b/>
          <w:sz w:val="22"/>
        </w:rPr>
        <w:t>A la fin de l’année 201</w:t>
      </w:r>
      <w:r w:rsidR="00451322">
        <w:rPr>
          <w:rFonts w:ascii="Times New Roman" w:hAnsi="Times New Roman" w:cs="Times New Roman"/>
          <w:b/>
          <w:sz w:val="22"/>
        </w:rPr>
        <w:t>6</w:t>
      </w:r>
      <w:r w:rsidRPr="00487B96">
        <w:rPr>
          <w:rFonts w:ascii="Times New Roman" w:hAnsi="Times New Roman" w:cs="Times New Roman"/>
          <w:b/>
          <w:sz w:val="22"/>
        </w:rPr>
        <w:t xml:space="preserve">, le stock des IDE sortants a enregistré une </w:t>
      </w:r>
      <w:r w:rsidR="00451322">
        <w:rPr>
          <w:rFonts w:ascii="Times New Roman" w:hAnsi="Times New Roman" w:cs="Times New Roman"/>
          <w:b/>
          <w:sz w:val="22"/>
        </w:rPr>
        <w:t>hausse</w:t>
      </w:r>
      <w:r w:rsidRPr="00487B96">
        <w:rPr>
          <w:rFonts w:ascii="Times New Roman" w:hAnsi="Times New Roman" w:cs="Times New Roman"/>
          <w:b/>
          <w:sz w:val="22"/>
        </w:rPr>
        <w:t xml:space="preserve"> de </w:t>
      </w:r>
      <w:r w:rsidR="00C923C7">
        <w:rPr>
          <w:rFonts w:ascii="Times New Roman" w:hAnsi="Times New Roman" w:cs="Times New Roman"/>
          <w:b/>
          <w:sz w:val="22"/>
        </w:rPr>
        <w:t>+</w:t>
      </w:r>
      <w:r w:rsidR="00451322">
        <w:rPr>
          <w:rFonts w:ascii="Times New Roman" w:hAnsi="Times New Roman" w:cs="Times New Roman"/>
          <w:b/>
          <w:sz w:val="22"/>
        </w:rPr>
        <w:t xml:space="preserve">21,4 </w:t>
      </w:r>
      <w:r w:rsidRPr="00487B96">
        <w:rPr>
          <w:rFonts w:ascii="Times New Roman" w:hAnsi="Times New Roman" w:cs="Times New Roman"/>
          <w:b/>
          <w:sz w:val="22"/>
        </w:rPr>
        <w:t>% par rapport à l’année précédente</w:t>
      </w:r>
      <w:r w:rsidR="00C923C7">
        <w:rPr>
          <w:rFonts w:ascii="Times New Roman" w:hAnsi="Times New Roman" w:cs="Times New Roman"/>
          <w:b/>
          <w:sz w:val="22"/>
        </w:rPr>
        <w:t>,</w:t>
      </w:r>
      <w:r w:rsidRPr="00487B96">
        <w:rPr>
          <w:rFonts w:ascii="Times New Roman" w:hAnsi="Times New Roman" w:cs="Times New Roman"/>
          <w:b/>
          <w:sz w:val="22"/>
        </w:rPr>
        <w:t xml:space="preserve"> pour s’établir à </w:t>
      </w:r>
      <w:r w:rsidR="00451322">
        <w:rPr>
          <w:rFonts w:ascii="Times New Roman" w:hAnsi="Times New Roman" w:cs="Times New Roman"/>
          <w:b/>
          <w:sz w:val="22"/>
        </w:rPr>
        <w:t>105,4</w:t>
      </w:r>
      <w:r w:rsidRPr="00487B96">
        <w:rPr>
          <w:rFonts w:ascii="Times New Roman" w:hAnsi="Times New Roman" w:cs="Times New Roman"/>
          <w:b/>
          <w:sz w:val="22"/>
        </w:rPr>
        <w:t xml:space="preserve"> Mds</w:t>
      </w:r>
      <w:r w:rsidR="00451322">
        <w:rPr>
          <w:rFonts w:ascii="Times New Roman" w:hAnsi="Times New Roman" w:cs="Times New Roman"/>
          <w:b/>
          <w:sz w:val="22"/>
        </w:rPr>
        <w:t xml:space="preserve"> </w:t>
      </w:r>
      <w:r w:rsidRPr="00487B96">
        <w:rPr>
          <w:rFonts w:ascii="Times New Roman" w:hAnsi="Times New Roman" w:cs="Times New Roman"/>
          <w:b/>
          <w:sz w:val="22"/>
        </w:rPr>
        <w:t>€.</w:t>
      </w:r>
      <w:r w:rsidRPr="00487B96">
        <w:rPr>
          <w:rFonts w:ascii="Times New Roman" w:hAnsi="Times New Roman" w:cs="Times New Roman"/>
          <w:sz w:val="22"/>
        </w:rPr>
        <w:t xml:space="preserve"> </w:t>
      </w:r>
    </w:p>
    <w:p w14:paraId="1B0F8457" w14:textId="3F04C391" w:rsidR="0065755A" w:rsidRDefault="00487B96" w:rsidP="00451322">
      <w:pPr>
        <w:spacing w:after="120"/>
        <w:ind w:left="567"/>
        <w:jc w:val="both"/>
        <w:rPr>
          <w:rFonts w:ascii="Times New Roman" w:hAnsi="Times New Roman" w:cs="Times New Roman"/>
          <w:sz w:val="22"/>
        </w:rPr>
      </w:pPr>
      <w:r w:rsidRPr="00487B96">
        <w:rPr>
          <w:rFonts w:ascii="Times New Roman" w:hAnsi="Times New Roman" w:cs="Times New Roman"/>
          <w:b/>
          <w:sz w:val="22"/>
        </w:rPr>
        <w:t xml:space="preserve">Les stocks d’IDE sortants sont fortement concentrés dans </w:t>
      </w:r>
      <w:r w:rsidR="00C923C7">
        <w:rPr>
          <w:rFonts w:ascii="Times New Roman" w:hAnsi="Times New Roman" w:cs="Times New Roman"/>
          <w:b/>
          <w:sz w:val="22"/>
        </w:rPr>
        <w:t>l’Union Européenne (83</w:t>
      </w:r>
      <w:r w:rsidR="0065755A">
        <w:rPr>
          <w:rFonts w:ascii="Times New Roman" w:hAnsi="Times New Roman" w:cs="Times New Roman"/>
          <w:b/>
          <w:sz w:val="22"/>
        </w:rPr>
        <w:t xml:space="preserve"> </w:t>
      </w:r>
      <w:r w:rsidRPr="00487B96">
        <w:rPr>
          <w:rFonts w:ascii="Times New Roman" w:hAnsi="Times New Roman" w:cs="Times New Roman"/>
          <w:b/>
          <w:sz w:val="22"/>
        </w:rPr>
        <w:t>% des IDE)</w:t>
      </w:r>
      <w:r w:rsidRPr="00487B96">
        <w:rPr>
          <w:rFonts w:ascii="Times New Roman" w:hAnsi="Times New Roman" w:cs="Times New Roman"/>
          <w:sz w:val="22"/>
        </w:rPr>
        <w:t xml:space="preserve"> et dans une moindre mesure dans les pays de la zone euro (</w:t>
      </w:r>
      <w:r w:rsidR="00C923C7">
        <w:rPr>
          <w:rFonts w:ascii="Times New Roman" w:hAnsi="Times New Roman" w:cs="Times New Roman"/>
          <w:sz w:val="22"/>
        </w:rPr>
        <w:t>5</w:t>
      </w:r>
      <w:r w:rsidRPr="00487B96">
        <w:rPr>
          <w:rFonts w:ascii="Times New Roman" w:hAnsi="Times New Roman" w:cs="Times New Roman"/>
          <w:sz w:val="22"/>
        </w:rPr>
        <w:t>1</w:t>
      </w:r>
      <w:r w:rsidR="0065755A">
        <w:rPr>
          <w:rFonts w:ascii="Times New Roman" w:hAnsi="Times New Roman" w:cs="Times New Roman"/>
          <w:sz w:val="22"/>
        </w:rPr>
        <w:t xml:space="preserve"> </w:t>
      </w:r>
      <w:r w:rsidRPr="00487B96">
        <w:rPr>
          <w:rFonts w:ascii="Times New Roman" w:hAnsi="Times New Roman" w:cs="Times New Roman"/>
          <w:sz w:val="22"/>
        </w:rPr>
        <w:t xml:space="preserve">%). </w:t>
      </w:r>
      <w:r w:rsidRPr="00487B96">
        <w:rPr>
          <w:rFonts w:ascii="Times New Roman" w:hAnsi="Times New Roman" w:cs="Times New Roman"/>
          <w:b/>
          <w:sz w:val="22"/>
        </w:rPr>
        <w:t>Les principaux destinataires sont la Suède (28,</w:t>
      </w:r>
      <w:r w:rsidR="0065755A">
        <w:rPr>
          <w:rFonts w:ascii="Times New Roman" w:hAnsi="Times New Roman" w:cs="Times New Roman"/>
          <w:b/>
          <w:sz w:val="22"/>
        </w:rPr>
        <w:t>2</w:t>
      </w:r>
      <w:r w:rsidRPr="00487B96">
        <w:rPr>
          <w:rFonts w:ascii="Times New Roman" w:hAnsi="Times New Roman" w:cs="Times New Roman"/>
          <w:b/>
          <w:sz w:val="22"/>
        </w:rPr>
        <w:t xml:space="preserve"> Mds € soit </w:t>
      </w:r>
      <w:r w:rsidR="0065755A">
        <w:rPr>
          <w:rFonts w:ascii="Times New Roman" w:hAnsi="Times New Roman" w:cs="Times New Roman"/>
          <w:b/>
          <w:sz w:val="22"/>
        </w:rPr>
        <w:t>27 %</w:t>
      </w:r>
      <w:r w:rsidRPr="00487B96">
        <w:rPr>
          <w:rFonts w:ascii="Times New Roman" w:hAnsi="Times New Roman" w:cs="Times New Roman"/>
          <w:b/>
          <w:sz w:val="22"/>
        </w:rPr>
        <w:t xml:space="preserve"> du total)</w:t>
      </w:r>
      <w:r w:rsidRPr="00487B96">
        <w:rPr>
          <w:rFonts w:ascii="Times New Roman" w:hAnsi="Times New Roman" w:cs="Times New Roman"/>
          <w:sz w:val="22"/>
        </w:rPr>
        <w:t>, les Pays-Bas (1</w:t>
      </w:r>
      <w:r w:rsidR="0065755A">
        <w:rPr>
          <w:rFonts w:ascii="Times New Roman" w:hAnsi="Times New Roman" w:cs="Times New Roman"/>
          <w:sz w:val="22"/>
        </w:rPr>
        <w:t>8,2</w:t>
      </w:r>
      <w:r w:rsidRPr="00487B96">
        <w:rPr>
          <w:rFonts w:ascii="Times New Roman" w:hAnsi="Times New Roman" w:cs="Times New Roman"/>
          <w:sz w:val="22"/>
        </w:rPr>
        <w:t xml:space="preserve"> Mds € soit </w:t>
      </w:r>
      <w:r w:rsidR="0065755A">
        <w:rPr>
          <w:rFonts w:ascii="Times New Roman" w:hAnsi="Times New Roman" w:cs="Times New Roman"/>
          <w:sz w:val="22"/>
        </w:rPr>
        <w:t xml:space="preserve">17 </w:t>
      </w:r>
      <w:r w:rsidRPr="00487B96">
        <w:rPr>
          <w:rFonts w:ascii="Times New Roman" w:hAnsi="Times New Roman" w:cs="Times New Roman"/>
          <w:sz w:val="22"/>
        </w:rPr>
        <w:t xml:space="preserve">% du total), </w:t>
      </w:r>
      <w:r w:rsidR="0065755A">
        <w:rPr>
          <w:rFonts w:ascii="Times New Roman" w:hAnsi="Times New Roman" w:cs="Times New Roman"/>
          <w:sz w:val="22"/>
        </w:rPr>
        <w:t xml:space="preserve">la France (13,9 Mds € soit 13 %), </w:t>
      </w:r>
      <w:r w:rsidRPr="00487B96">
        <w:rPr>
          <w:rFonts w:ascii="Times New Roman" w:hAnsi="Times New Roman" w:cs="Times New Roman"/>
          <w:sz w:val="22"/>
        </w:rPr>
        <w:t>les Etats-Unis (</w:t>
      </w:r>
      <w:r w:rsidR="0065755A">
        <w:rPr>
          <w:rFonts w:ascii="Times New Roman" w:hAnsi="Times New Roman" w:cs="Times New Roman"/>
          <w:sz w:val="22"/>
        </w:rPr>
        <w:t>6,7</w:t>
      </w:r>
      <w:r w:rsidRPr="00487B96">
        <w:rPr>
          <w:rFonts w:ascii="Times New Roman" w:hAnsi="Times New Roman" w:cs="Times New Roman"/>
          <w:sz w:val="22"/>
        </w:rPr>
        <w:t xml:space="preserve"> Mds € soit </w:t>
      </w:r>
      <w:r w:rsidR="0065755A">
        <w:rPr>
          <w:rFonts w:ascii="Times New Roman" w:hAnsi="Times New Roman" w:cs="Times New Roman"/>
          <w:sz w:val="22"/>
        </w:rPr>
        <w:t xml:space="preserve">6 </w:t>
      </w:r>
      <w:r w:rsidRPr="00487B96">
        <w:rPr>
          <w:rFonts w:ascii="Times New Roman" w:hAnsi="Times New Roman" w:cs="Times New Roman"/>
          <w:sz w:val="22"/>
        </w:rPr>
        <w:t xml:space="preserve">%) et la Belgique (3 Mds € soit 3%). </w:t>
      </w:r>
      <w:r w:rsidR="0065755A" w:rsidRPr="00125A9C">
        <w:rPr>
          <w:rFonts w:ascii="Times New Roman" w:hAnsi="Times New Roman" w:cs="Times New Roman"/>
          <w:b/>
          <w:sz w:val="22"/>
        </w:rPr>
        <w:t xml:space="preserve">Les IDE finlandais en direction de la France augmentent fortement en 2016, </w:t>
      </w:r>
      <w:r w:rsidR="00125A9C">
        <w:rPr>
          <w:rFonts w:ascii="Times New Roman" w:hAnsi="Times New Roman" w:cs="Times New Roman"/>
          <w:b/>
          <w:sz w:val="22"/>
        </w:rPr>
        <w:t>leur stock</w:t>
      </w:r>
      <w:r w:rsidR="0065755A" w:rsidRPr="00125A9C">
        <w:rPr>
          <w:rFonts w:ascii="Times New Roman" w:hAnsi="Times New Roman" w:cs="Times New Roman"/>
          <w:b/>
          <w:sz w:val="22"/>
        </w:rPr>
        <w:t xml:space="preserve"> passe ainsi de 1,5 Mds € </w:t>
      </w:r>
      <w:r w:rsidR="00125A9C">
        <w:rPr>
          <w:rFonts w:ascii="Times New Roman" w:hAnsi="Times New Roman" w:cs="Times New Roman"/>
          <w:b/>
          <w:sz w:val="22"/>
        </w:rPr>
        <w:t xml:space="preserve">en 2015 </w:t>
      </w:r>
      <w:r w:rsidR="0065755A" w:rsidRPr="00125A9C">
        <w:rPr>
          <w:rFonts w:ascii="Times New Roman" w:hAnsi="Times New Roman" w:cs="Times New Roman"/>
          <w:b/>
          <w:sz w:val="22"/>
        </w:rPr>
        <w:t>à près de 14 Mds €</w:t>
      </w:r>
      <w:r w:rsidR="00125A9C">
        <w:rPr>
          <w:rFonts w:ascii="Times New Roman" w:hAnsi="Times New Roman" w:cs="Times New Roman"/>
          <w:b/>
          <w:sz w:val="22"/>
        </w:rPr>
        <w:t xml:space="preserve"> l’année suivante</w:t>
      </w:r>
      <w:r w:rsidR="0065755A" w:rsidRPr="00125A9C">
        <w:rPr>
          <w:rFonts w:ascii="Times New Roman" w:hAnsi="Times New Roman" w:cs="Times New Roman"/>
          <w:b/>
          <w:sz w:val="22"/>
        </w:rPr>
        <w:t>.</w:t>
      </w:r>
      <w:r w:rsidR="0065755A">
        <w:rPr>
          <w:rFonts w:ascii="Times New Roman" w:hAnsi="Times New Roman" w:cs="Times New Roman"/>
          <w:sz w:val="22"/>
        </w:rPr>
        <w:t xml:space="preserve"> Cette forte hausse s’explique notamment par l’acquisition d’Alcatel-Lucent par Nokia, </w:t>
      </w:r>
      <w:r w:rsidR="00125A9C">
        <w:rPr>
          <w:rFonts w:ascii="Times New Roman" w:hAnsi="Times New Roman" w:cs="Times New Roman"/>
          <w:sz w:val="22"/>
        </w:rPr>
        <w:t xml:space="preserve">qui s’est déroulée de fin 2015 à </w:t>
      </w:r>
      <w:r w:rsidR="000107C3">
        <w:rPr>
          <w:rFonts w:ascii="Times New Roman" w:hAnsi="Times New Roman" w:cs="Times New Roman"/>
          <w:sz w:val="22"/>
        </w:rPr>
        <w:t>mi-</w:t>
      </w:r>
      <w:r w:rsidR="00125A9C">
        <w:rPr>
          <w:rFonts w:ascii="Times New Roman" w:hAnsi="Times New Roman" w:cs="Times New Roman"/>
          <w:sz w:val="22"/>
        </w:rPr>
        <w:t>2016.</w:t>
      </w:r>
    </w:p>
    <w:p w14:paraId="4681350F" w14:textId="500562C0" w:rsidR="002046FA" w:rsidRDefault="002046FA" w:rsidP="00451322">
      <w:pPr>
        <w:spacing w:after="120"/>
        <w:ind w:left="567"/>
        <w:jc w:val="both"/>
        <w:rPr>
          <w:rFonts w:ascii="Times New Roman" w:hAnsi="Times New Roman" w:cs="Times New Roman"/>
          <w:sz w:val="22"/>
        </w:rPr>
      </w:pPr>
      <w:r>
        <w:rPr>
          <w:rFonts w:ascii="Times New Roman" w:hAnsi="Times New Roman" w:cs="Times New Roman"/>
          <w:sz w:val="22"/>
        </w:rPr>
        <w:t>L</w:t>
      </w:r>
      <w:r w:rsidRPr="00C56D60">
        <w:rPr>
          <w:rFonts w:ascii="Times New Roman" w:hAnsi="Times New Roman" w:cs="Times New Roman"/>
          <w:sz w:val="22"/>
        </w:rPr>
        <w:t>a</w:t>
      </w:r>
      <w:r>
        <w:rPr>
          <w:rFonts w:ascii="Times New Roman" w:hAnsi="Times New Roman" w:cs="Times New Roman"/>
          <w:sz w:val="22"/>
        </w:rPr>
        <w:t xml:space="preserve"> plupart des IDE sortants vers l</w:t>
      </w:r>
      <w:r w:rsidRPr="00C56D60">
        <w:rPr>
          <w:rFonts w:ascii="Times New Roman" w:hAnsi="Times New Roman" w:cs="Times New Roman"/>
          <w:sz w:val="22"/>
        </w:rPr>
        <w:t xml:space="preserve">es pays du Bénélux sont </w:t>
      </w:r>
      <w:r>
        <w:rPr>
          <w:rFonts w:ascii="Times New Roman" w:hAnsi="Times New Roman" w:cs="Times New Roman"/>
          <w:sz w:val="22"/>
        </w:rPr>
        <w:t xml:space="preserve">le fait de </w:t>
      </w:r>
      <w:r w:rsidRPr="00C56D60">
        <w:rPr>
          <w:rFonts w:ascii="Times New Roman" w:hAnsi="Times New Roman" w:cs="Times New Roman"/>
          <w:sz w:val="22"/>
        </w:rPr>
        <w:t xml:space="preserve">groupes </w:t>
      </w:r>
      <w:r>
        <w:rPr>
          <w:rFonts w:ascii="Times New Roman" w:hAnsi="Times New Roman" w:cs="Times New Roman"/>
          <w:sz w:val="22"/>
        </w:rPr>
        <w:t>dont les</w:t>
      </w:r>
      <w:r w:rsidRPr="00C56D60">
        <w:rPr>
          <w:rFonts w:ascii="Times New Roman" w:hAnsi="Times New Roman" w:cs="Times New Roman"/>
          <w:sz w:val="22"/>
        </w:rPr>
        <w:t xml:space="preserve"> activités de production </w:t>
      </w:r>
      <w:r>
        <w:rPr>
          <w:rFonts w:ascii="Times New Roman" w:hAnsi="Times New Roman" w:cs="Times New Roman"/>
          <w:sz w:val="22"/>
        </w:rPr>
        <w:t>sont en réalité localisées ailleurs et notamment</w:t>
      </w:r>
      <w:r w:rsidRPr="00C56D60">
        <w:rPr>
          <w:rFonts w:ascii="Times New Roman" w:hAnsi="Times New Roman" w:cs="Times New Roman"/>
          <w:sz w:val="22"/>
        </w:rPr>
        <w:t xml:space="preserve"> en Asie. Ainsi, </w:t>
      </w:r>
      <w:r w:rsidRPr="001B7482">
        <w:rPr>
          <w:rFonts w:ascii="Times New Roman" w:hAnsi="Times New Roman" w:cs="Times New Roman"/>
          <w:b/>
          <w:sz w:val="22"/>
        </w:rPr>
        <w:t>les 228 filiales finlandaises établies en Chine généraient, en 201</w:t>
      </w:r>
      <w:r w:rsidR="0056769B" w:rsidRPr="001B7482">
        <w:rPr>
          <w:rFonts w:ascii="Times New Roman" w:hAnsi="Times New Roman" w:cs="Times New Roman"/>
          <w:b/>
          <w:sz w:val="22"/>
        </w:rPr>
        <w:t>5</w:t>
      </w:r>
      <w:r w:rsidRPr="001B7482">
        <w:rPr>
          <w:rFonts w:ascii="Times New Roman" w:hAnsi="Times New Roman" w:cs="Times New Roman"/>
          <w:b/>
          <w:sz w:val="22"/>
        </w:rPr>
        <w:t>, 14,6 % du CA total des filiales finlandaises à l’étranger</w:t>
      </w:r>
      <w:r>
        <w:rPr>
          <w:rFonts w:ascii="Times New Roman" w:hAnsi="Times New Roman" w:cs="Times New Roman"/>
          <w:sz w:val="22"/>
        </w:rPr>
        <w:t xml:space="preserve"> alors que l</w:t>
      </w:r>
      <w:r w:rsidRPr="00C56D60">
        <w:rPr>
          <w:rFonts w:ascii="Times New Roman" w:hAnsi="Times New Roman" w:cs="Times New Roman"/>
          <w:sz w:val="22"/>
        </w:rPr>
        <w:t>es IDE</w:t>
      </w:r>
      <w:r>
        <w:rPr>
          <w:rFonts w:ascii="Times New Roman" w:hAnsi="Times New Roman" w:cs="Times New Roman"/>
          <w:sz w:val="22"/>
        </w:rPr>
        <w:t xml:space="preserve"> vers ce pays étaient de 1,1 Mds € en stock la même année</w:t>
      </w:r>
      <w:r w:rsidRPr="00C56D60">
        <w:rPr>
          <w:rFonts w:ascii="Times New Roman" w:hAnsi="Times New Roman" w:cs="Times New Roman"/>
          <w:sz w:val="22"/>
        </w:rPr>
        <w:t>.</w:t>
      </w:r>
    </w:p>
    <w:p w14:paraId="3B9874FE" w14:textId="164AF4E7" w:rsidR="00487B96" w:rsidRDefault="00487B96" w:rsidP="00451322">
      <w:pPr>
        <w:spacing w:after="120"/>
        <w:ind w:left="567"/>
        <w:jc w:val="both"/>
        <w:rPr>
          <w:rFonts w:ascii="Times New Roman" w:hAnsi="Times New Roman" w:cs="Times New Roman"/>
          <w:sz w:val="22"/>
        </w:rPr>
      </w:pPr>
      <w:r w:rsidRPr="00487B96">
        <w:rPr>
          <w:rFonts w:ascii="Times New Roman" w:hAnsi="Times New Roman" w:cs="Times New Roman"/>
          <w:sz w:val="22"/>
        </w:rPr>
        <w:t xml:space="preserve">Les IDE sortants sont </w:t>
      </w:r>
      <w:r w:rsidR="00852B91">
        <w:rPr>
          <w:rFonts w:ascii="Times New Roman" w:hAnsi="Times New Roman" w:cs="Times New Roman"/>
          <w:sz w:val="22"/>
        </w:rPr>
        <w:t xml:space="preserve">principalement </w:t>
      </w:r>
      <w:r w:rsidRPr="00487B96">
        <w:rPr>
          <w:rFonts w:ascii="Times New Roman" w:hAnsi="Times New Roman" w:cs="Times New Roman"/>
          <w:sz w:val="22"/>
        </w:rPr>
        <w:t>le fait de l’industrie papetière ou métallurgique ou du secteur des services.</w:t>
      </w:r>
    </w:p>
    <w:p w14:paraId="22A5F8C3" w14:textId="18112CED" w:rsidR="00487B96" w:rsidRDefault="00487B96" w:rsidP="00451322">
      <w:pPr>
        <w:spacing w:after="120"/>
        <w:ind w:left="567"/>
        <w:jc w:val="both"/>
        <w:rPr>
          <w:rFonts w:ascii="Times New Roman" w:hAnsi="Times New Roman" w:cs="Times New Roman"/>
          <w:sz w:val="22"/>
        </w:rPr>
      </w:pPr>
      <w:r w:rsidRPr="00487B96">
        <w:rPr>
          <w:rFonts w:ascii="Times New Roman" w:hAnsi="Times New Roman" w:cs="Times New Roman"/>
          <w:b/>
          <w:sz w:val="22"/>
        </w:rPr>
        <w:t>Selon Statistiques Finlande, en 201</w:t>
      </w:r>
      <w:r w:rsidR="00852B91">
        <w:rPr>
          <w:rFonts w:ascii="Times New Roman" w:hAnsi="Times New Roman" w:cs="Times New Roman"/>
          <w:b/>
          <w:sz w:val="22"/>
        </w:rPr>
        <w:t>5</w:t>
      </w:r>
      <w:r w:rsidRPr="00487B96">
        <w:rPr>
          <w:rFonts w:ascii="Times New Roman" w:hAnsi="Times New Roman" w:cs="Times New Roman"/>
          <w:b/>
          <w:sz w:val="22"/>
        </w:rPr>
        <w:t xml:space="preserve"> (</w:t>
      </w:r>
      <w:r w:rsidR="00852B91">
        <w:rPr>
          <w:rFonts w:ascii="Times New Roman" w:hAnsi="Times New Roman" w:cs="Times New Roman"/>
          <w:b/>
          <w:sz w:val="22"/>
        </w:rPr>
        <w:t>derniers chiffres disponibles</w:t>
      </w:r>
      <w:r w:rsidRPr="00487B96">
        <w:rPr>
          <w:rFonts w:ascii="Times New Roman" w:hAnsi="Times New Roman" w:cs="Times New Roman"/>
          <w:b/>
          <w:sz w:val="22"/>
        </w:rPr>
        <w:t>), les filiales finlandaise</w:t>
      </w:r>
      <w:r w:rsidR="00852B91">
        <w:rPr>
          <w:rFonts w:ascii="Times New Roman" w:hAnsi="Times New Roman" w:cs="Times New Roman"/>
          <w:b/>
          <w:sz w:val="22"/>
        </w:rPr>
        <w:t>s à l’étranger, au nombre de 4</w:t>
      </w:r>
      <w:r w:rsidR="00963240">
        <w:rPr>
          <w:rFonts w:ascii="Times New Roman" w:hAnsi="Times New Roman" w:cs="Times New Roman"/>
          <w:b/>
          <w:sz w:val="22"/>
        </w:rPr>
        <w:t xml:space="preserve"> </w:t>
      </w:r>
      <w:r w:rsidR="00852B91">
        <w:rPr>
          <w:rFonts w:ascii="Times New Roman" w:hAnsi="Times New Roman" w:cs="Times New Roman"/>
          <w:b/>
          <w:sz w:val="22"/>
        </w:rPr>
        <w:t>88</w:t>
      </w:r>
      <w:r w:rsidR="00963240">
        <w:rPr>
          <w:rFonts w:ascii="Times New Roman" w:hAnsi="Times New Roman" w:cs="Times New Roman"/>
          <w:b/>
          <w:sz w:val="22"/>
        </w:rPr>
        <w:t>0 dans 140</w:t>
      </w:r>
      <w:r w:rsidRPr="00487B96">
        <w:rPr>
          <w:rFonts w:ascii="Times New Roman" w:hAnsi="Times New Roman" w:cs="Times New Roman"/>
          <w:b/>
          <w:sz w:val="22"/>
        </w:rPr>
        <w:t xml:space="preserve"> pays, employaient </w:t>
      </w:r>
      <w:r w:rsidR="00963240">
        <w:rPr>
          <w:rFonts w:ascii="Times New Roman" w:hAnsi="Times New Roman" w:cs="Times New Roman"/>
          <w:b/>
          <w:sz w:val="22"/>
        </w:rPr>
        <w:t>476 630</w:t>
      </w:r>
      <w:r w:rsidRPr="00487B96">
        <w:rPr>
          <w:rFonts w:ascii="Times New Roman" w:hAnsi="Times New Roman" w:cs="Times New Roman"/>
          <w:b/>
          <w:sz w:val="22"/>
        </w:rPr>
        <w:t xml:space="preserve"> personnes </w:t>
      </w:r>
      <w:r w:rsidRPr="00487B96">
        <w:rPr>
          <w:rFonts w:ascii="Times New Roman" w:hAnsi="Times New Roman" w:cs="Times New Roman"/>
          <w:sz w:val="22"/>
        </w:rPr>
        <w:t>(5</w:t>
      </w:r>
      <w:r w:rsidR="00963240">
        <w:rPr>
          <w:rFonts w:ascii="Times New Roman" w:hAnsi="Times New Roman" w:cs="Times New Roman"/>
          <w:sz w:val="22"/>
        </w:rPr>
        <w:t>11</w:t>
      </w:r>
      <w:r w:rsidRPr="00487B96">
        <w:rPr>
          <w:rFonts w:ascii="Times New Roman" w:hAnsi="Times New Roman" w:cs="Times New Roman"/>
          <w:sz w:val="22"/>
        </w:rPr>
        <w:t> 000 en 201</w:t>
      </w:r>
      <w:r w:rsidR="00963240">
        <w:rPr>
          <w:rFonts w:ascii="Times New Roman" w:hAnsi="Times New Roman" w:cs="Times New Roman"/>
          <w:sz w:val="22"/>
        </w:rPr>
        <w:t>4</w:t>
      </w:r>
      <w:r w:rsidRPr="00487B96">
        <w:rPr>
          <w:rFonts w:ascii="Times New Roman" w:hAnsi="Times New Roman" w:cs="Times New Roman"/>
          <w:sz w:val="22"/>
        </w:rPr>
        <w:t>), dont</w:t>
      </w:r>
      <w:r w:rsidR="00963240">
        <w:rPr>
          <w:rFonts w:ascii="Times New Roman" w:hAnsi="Times New Roman" w:cs="Times New Roman"/>
          <w:sz w:val="22"/>
        </w:rPr>
        <w:t xml:space="preserve"> plus de</w:t>
      </w:r>
      <w:r w:rsidRPr="00487B96">
        <w:rPr>
          <w:rFonts w:ascii="Times New Roman" w:hAnsi="Times New Roman" w:cs="Times New Roman"/>
          <w:sz w:val="22"/>
        </w:rPr>
        <w:t xml:space="preserve"> la moitié dans l’Union européenne. Leur chiffre d’affaires s’est élevé à </w:t>
      </w:r>
      <w:r w:rsidR="00963240">
        <w:rPr>
          <w:rFonts w:ascii="Times New Roman" w:hAnsi="Times New Roman" w:cs="Times New Roman"/>
          <w:sz w:val="22"/>
        </w:rPr>
        <w:t>133</w:t>
      </w:r>
      <w:r w:rsidRPr="00487B96">
        <w:rPr>
          <w:rFonts w:ascii="Times New Roman" w:hAnsi="Times New Roman" w:cs="Times New Roman"/>
          <w:sz w:val="22"/>
        </w:rPr>
        <w:t>,</w:t>
      </w:r>
      <w:r w:rsidR="00963240">
        <w:rPr>
          <w:rFonts w:ascii="Times New Roman" w:hAnsi="Times New Roman" w:cs="Times New Roman"/>
          <w:sz w:val="22"/>
        </w:rPr>
        <w:t>7</w:t>
      </w:r>
      <w:r w:rsidRPr="00487B96">
        <w:rPr>
          <w:rFonts w:ascii="Times New Roman" w:hAnsi="Times New Roman" w:cs="Times New Roman"/>
          <w:sz w:val="22"/>
        </w:rPr>
        <w:t xml:space="preserve"> Mds €. En termes </w:t>
      </w:r>
      <w:r w:rsidR="001B5A49">
        <w:rPr>
          <w:rFonts w:ascii="Times New Roman" w:hAnsi="Times New Roman" w:cs="Times New Roman"/>
          <w:sz w:val="22"/>
        </w:rPr>
        <w:t>d’employés</w:t>
      </w:r>
      <w:r w:rsidRPr="00487B96">
        <w:rPr>
          <w:rFonts w:ascii="Times New Roman" w:hAnsi="Times New Roman" w:cs="Times New Roman"/>
          <w:sz w:val="22"/>
        </w:rPr>
        <w:t xml:space="preserve">, le principal pays d’accueil est la Suède avec </w:t>
      </w:r>
      <w:r w:rsidR="00963240">
        <w:rPr>
          <w:rFonts w:ascii="Times New Roman" w:hAnsi="Times New Roman" w:cs="Times New Roman"/>
          <w:sz w:val="22"/>
        </w:rPr>
        <w:t>57 000 personnes (579 filiales, 25</w:t>
      </w:r>
      <w:r w:rsidRPr="00487B96">
        <w:rPr>
          <w:rFonts w:ascii="Times New Roman" w:hAnsi="Times New Roman" w:cs="Times New Roman"/>
          <w:sz w:val="22"/>
        </w:rPr>
        <w:t>,</w:t>
      </w:r>
      <w:r w:rsidR="00963240">
        <w:rPr>
          <w:rFonts w:ascii="Times New Roman" w:hAnsi="Times New Roman" w:cs="Times New Roman"/>
          <w:sz w:val="22"/>
        </w:rPr>
        <w:t>5</w:t>
      </w:r>
      <w:r w:rsidRPr="00487B96">
        <w:rPr>
          <w:rFonts w:ascii="Times New Roman" w:hAnsi="Times New Roman" w:cs="Times New Roman"/>
          <w:sz w:val="22"/>
        </w:rPr>
        <w:t xml:space="preserve"> Mds de chiffre d’affaires) ; viennent ensuite</w:t>
      </w:r>
      <w:r w:rsidRPr="00487B96">
        <w:rPr>
          <w:rFonts w:ascii="TimesNewRomanPSMT" w:hAnsi="TimesNewRomanPSMT" w:cs="TimesNewRomanPSMT"/>
          <w:sz w:val="22"/>
        </w:rPr>
        <w:t xml:space="preserve"> </w:t>
      </w:r>
      <w:r w:rsidRPr="00487B96">
        <w:rPr>
          <w:rFonts w:ascii="Times New Roman" w:hAnsi="Times New Roman" w:cs="Times New Roman"/>
          <w:sz w:val="22"/>
        </w:rPr>
        <w:t>la Chine (</w:t>
      </w:r>
      <w:r w:rsidR="00963240">
        <w:rPr>
          <w:rFonts w:ascii="Times New Roman" w:hAnsi="Times New Roman" w:cs="Times New Roman"/>
          <w:sz w:val="22"/>
        </w:rPr>
        <w:t>49 000</w:t>
      </w:r>
      <w:r w:rsidRPr="00487B96">
        <w:rPr>
          <w:rFonts w:ascii="Times New Roman" w:hAnsi="Times New Roman" w:cs="Times New Roman"/>
          <w:sz w:val="22"/>
        </w:rPr>
        <w:t xml:space="preserve"> personnes et 22</w:t>
      </w:r>
      <w:r w:rsidR="00963240">
        <w:rPr>
          <w:rFonts w:ascii="Times New Roman" w:hAnsi="Times New Roman" w:cs="Times New Roman"/>
          <w:sz w:val="22"/>
        </w:rPr>
        <w:t>8</w:t>
      </w:r>
      <w:r w:rsidRPr="00487B96">
        <w:rPr>
          <w:rFonts w:ascii="Times New Roman" w:hAnsi="Times New Roman" w:cs="Times New Roman"/>
          <w:sz w:val="22"/>
        </w:rPr>
        <w:t xml:space="preserve"> filiales), la Russie (</w:t>
      </w:r>
      <w:r w:rsidR="00963240">
        <w:rPr>
          <w:rFonts w:ascii="Times New Roman" w:hAnsi="Times New Roman" w:cs="Times New Roman"/>
          <w:sz w:val="22"/>
        </w:rPr>
        <w:t>41 300</w:t>
      </w:r>
      <w:r w:rsidRPr="00487B96">
        <w:rPr>
          <w:rFonts w:ascii="Times New Roman" w:hAnsi="Times New Roman" w:cs="Times New Roman"/>
          <w:sz w:val="22"/>
        </w:rPr>
        <w:t xml:space="preserve"> personnes et  3</w:t>
      </w:r>
      <w:r w:rsidR="00963240">
        <w:rPr>
          <w:rFonts w:ascii="Times New Roman" w:hAnsi="Times New Roman" w:cs="Times New Roman"/>
          <w:sz w:val="22"/>
        </w:rPr>
        <w:t>43</w:t>
      </w:r>
      <w:r w:rsidRPr="00487B96">
        <w:rPr>
          <w:rFonts w:ascii="Times New Roman" w:hAnsi="Times New Roman" w:cs="Times New Roman"/>
          <w:sz w:val="22"/>
        </w:rPr>
        <w:t xml:space="preserve"> filiales) et </w:t>
      </w:r>
      <w:r w:rsidR="00963240">
        <w:rPr>
          <w:rFonts w:ascii="Times New Roman" w:hAnsi="Times New Roman" w:cs="Times New Roman"/>
          <w:sz w:val="22"/>
        </w:rPr>
        <w:t>les Etats-Unis</w:t>
      </w:r>
      <w:r w:rsidRPr="00487B96">
        <w:rPr>
          <w:rFonts w:ascii="Times New Roman" w:hAnsi="Times New Roman" w:cs="Times New Roman"/>
          <w:sz w:val="22"/>
        </w:rPr>
        <w:t xml:space="preserve"> (</w:t>
      </w:r>
      <w:r w:rsidR="00963240">
        <w:rPr>
          <w:rFonts w:ascii="Times New Roman" w:hAnsi="Times New Roman" w:cs="Times New Roman"/>
          <w:sz w:val="22"/>
        </w:rPr>
        <w:t>33 700</w:t>
      </w:r>
      <w:r w:rsidRPr="00487B96">
        <w:rPr>
          <w:rFonts w:ascii="Times New Roman" w:hAnsi="Times New Roman" w:cs="Times New Roman"/>
          <w:sz w:val="22"/>
        </w:rPr>
        <w:t xml:space="preserve"> personnes et </w:t>
      </w:r>
      <w:r w:rsidR="00963240">
        <w:rPr>
          <w:rFonts w:ascii="Times New Roman" w:hAnsi="Times New Roman" w:cs="Times New Roman"/>
          <w:sz w:val="22"/>
        </w:rPr>
        <w:t>251</w:t>
      </w:r>
      <w:r w:rsidRPr="00487B96">
        <w:rPr>
          <w:rFonts w:ascii="Times New Roman" w:hAnsi="Times New Roman" w:cs="Times New Roman"/>
          <w:sz w:val="22"/>
        </w:rPr>
        <w:t xml:space="preserve"> filiales). L’industrie </w:t>
      </w:r>
      <w:r w:rsidR="002046FA">
        <w:rPr>
          <w:rFonts w:ascii="Times New Roman" w:hAnsi="Times New Roman" w:cs="Times New Roman"/>
          <w:sz w:val="22"/>
        </w:rPr>
        <w:t xml:space="preserve">manufacturière </w:t>
      </w:r>
      <w:r w:rsidRPr="00487B96">
        <w:rPr>
          <w:rFonts w:ascii="Times New Roman" w:hAnsi="Times New Roman" w:cs="Times New Roman"/>
          <w:sz w:val="22"/>
        </w:rPr>
        <w:t xml:space="preserve">fournit les 2/3 des emplois des filiales </w:t>
      </w:r>
      <w:r w:rsidRPr="00487B96">
        <w:rPr>
          <w:rFonts w:ascii="Times New Roman" w:hAnsi="Times New Roman" w:cs="Times New Roman"/>
          <w:sz w:val="22"/>
        </w:rPr>
        <w:lastRenderedPageBreak/>
        <w:t>finlandaises à l’étranger, représente 60% de leur chiffre d’affaires cumulé et plus de 40 % du nombre total de filiales.</w:t>
      </w:r>
    </w:p>
    <w:p w14:paraId="45DE601C" w14:textId="5271F12F" w:rsidR="00487B96" w:rsidRPr="002046FA" w:rsidRDefault="00487B96" w:rsidP="002046FA">
      <w:pPr>
        <w:spacing w:after="120"/>
        <w:ind w:left="567"/>
        <w:jc w:val="both"/>
        <w:rPr>
          <w:rFonts w:ascii="Times New Roman" w:hAnsi="Times New Roman" w:cs="Times New Roman"/>
          <w:b/>
          <w:sz w:val="22"/>
        </w:rPr>
      </w:pPr>
      <w:r w:rsidRPr="00487B96">
        <w:rPr>
          <w:rFonts w:ascii="Times New Roman" w:hAnsi="Times New Roman" w:cs="Times New Roman"/>
          <w:b/>
          <w:sz w:val="22"/>
        </w:rPr>
        <w:t>En France, 1</w:t>
      </w:r>
      <w:r w:rsidR="002046FA">
        <w:rPr>
          <w:rFonts w:ascii="Times New Roman" w:hAnsi="Times New Roman" w:cs="Times New Roman"/>
          <w:b/>
          <w:sz w:val="22"/>
        </w:rPr>
        <w:t>19</w:t>
      </w:r>
      <w:r w:rsidRPr="00487B96">
        <w:rPr>
          <w:rFonts w:ascii="Times New Roman" w:hAnsi="Times New Roman" w:cs="Times New Roman"/>
          <w:b/>
          <w:sz w:val="22"/>
        </w:rPr>
        <w:t xml:space="preserve"> filiales finlandaises employaient, en 2015, </w:t>
      </w:r>
      <w:r w:rsidR="002046FA">
        <w:rPr>
          <w:rFonts w:ascii="Times New Roman" w:hAnsi="Times New Roman" w:cs="Times New Roman"/>
          <w:b/>
          <w:sz w:val="22"/>
        </w:rPr>
        <w:t>10 300</w:t>
      </w:r>
      <w:r w:rsidRPr="00487B96">
        <w:rPr>
          <w:rFonts w:ascii="Times New Roman" w:hAnsi="Times New Roman" w:cs="Times New Roman"/>
          <w:b/>
          <w:sz w:val="22"/>
        </w:rPr>
        <w:t xml:space="preserve"> personnes pour un chiffre d’affaires cumulé de 3,</w:t>
      </w:r>
      <w:r w:rsidR="002046FA">
        <w:rPr>
          <w:rFonts w:ascii="Times New Roman" w:hAnsi="Times New Roman" w:cs="Times New Roman"/>
          <w:b/>
          <w:sz w:val="22"/>
        </w:rPr>
        <w:t>6</w:t>
      </w:r>
      <w:r w:rsidRPr="00487B96">
        <w:rPr>
          <w:rFonts w:ascii="Times New Roman" w:hAnsi="Times New Roman" w:cs="Times New Roman"/>
          <w:b/>
          <w:sz w:val="22"/>
        </w:rPr>
        <w:t xml:space="preserve"> Mds €.</w:t>
      </w:r>
    </w:p>
    <w:p w14:paraId="3F4054BB" w14:textId="27B2B738" w:rsidR="00487B96" w:rsidRPr="00487B96" w:rsidRDefault="000107C3" w:rsidP="00451322">
      <w:pPr>
        <w:spacing w:after="120"/>
        <w:ind w:left="567"/>
        <w:jc w:val="both"/>
        <w:rPr>
          <w:rFonts w:ascii="Times New Roman" w:hAnsi="Times New Roman" w:cs="Times New Roman"/>
          <w:sz w:val="22"/>
        </w:rPr>
      </w:pPr>
      <w:r>
        <w:rPr>
          <w:rFonts w:ascii="Times New Roman" w:hAnsi="Times New Roman" w:cs="Times New Roman"/>
          <w:sz w:val="22"/>
        </w:rPr>
        <w:t>Les IDE</w:t>
      </w:r>
      <w:r w:rsidR="00487B96" w:rsidRPr="00487B96">
        <w:rPr>
          <w:rFonts w:ascii="Times New Roman" w:hAnsi="Times New Roman" w:cs="Times New Roman"/>
          <w:sz w:val="22"/>
        </w:rPr>
        <w:t xml:space="preserve"> sortants ont généré </w:t>
      </w:r>
      <w:r w:rsidR="0056769B">
        <w:rPr>
          <w:rFonts w:ascii="Times New Roman" w:hAnsi="Times New Roman" w:cs="Times New Roman"/>
          <w:sz w:val="22"/>
        </w:rPr>
        <w:t>8,8</w:t>
      </w:r>
      <w:r w:rsidR="00487B96" w:rsidRPr="00487B96">
        <w:rPr>
          <w:rFonts w:ascii="Times New Roman" w:hAnsi="Times New Roman" w:cs="Times New Roman"/>
          <w:sz w:val="22"/>
        </w:rPr>
        <w:t xml:space="preserve"> Mds € de revenus en Finlande fin 201</w:t>
      </w:r>
      <w:r w:rsidR="0056769B">
        <w:rPr>
          <w:rFonts w:ascii="Times New Roman" w:hAnsi="Times New Roman" w:cs="Times New Roman"/>
          <w:sz w:val="22"/>
        </w:rPr>
        <w:t>6</w:t>
      </w:r>
      <w:r w:rsidR="00487B96" w:rsidRPr="00487B96">
        <w:rPr>
          <w:rFonts w:ascii="Times New Roman" w:hAnsi="Times New Roman" w:cs="Times New Roman"/>
          <w:sz w:val="22"/>
        </w:rPr>
        <w:t xml:space="preserve">, </w:t>
      </w:r>
      <w:r w:rsidR="0056769B">
        <w:rPr>
          <w:rFonts w:ascii="Times New Roman" w:hAnsi="Times New Roman" w:cs="Times New Roman"/>
          <w:sz w:val="22"/>
        </w:rPr>
        <w:t>soit</w:t>
      </w:r>
      <w:r w:rsidR="00487B96" w:rsidRPr="00487B96">
        <w:rPr>
          <w:rFonts w:ascii="Times New Roman" w:hAnsi="Times New Roman" w:cs="Times New Roman"/>
          <w:sz w:val="22"/>
        </w:rPr>
        <w:t xml:space="preserve"> </w:t>
      </w:r>
      <w:r w:rsidR="0056769B">
        <w:rPr>
          <w:rFonts w:ascii="Times New Roman" w:hAnsi="Times New Roman" w:cs="Times New Roman"/>
          <w:sz w:val="22"/>
        </w:rPr>
        <w:t xml:space="preserve">2,1 </w:t>
      </w:r>
      <w:r w:rsidR="00487B96" w:rsidRPr="00487B96">
        <w:rPr>
          <w:rFonts w:ascii="Times New Roman" w:hAnsi="Times New Roman" w:cs="Times New Roman"/>
          <w:sz w:val="22"/>
        </w:rPr>
        <w:t xml:space="preserve">Mds de </w:t>
      </w:r>
      <w:r w:rsidR="0056769B">
        <w:rPr>
          <w:rFonts w:ascii="Times New Roman" w:hAnsi="Times New Roman" w:cs="Times New Roman"/>
          <w:sz w:val="22"/>
        </w:rPr>
        <w:t>plus qu’en 2015</w:t>
      </w:r>
      <w:r w:rsidR="00487B96" w:rsidRPr="00487B96">
        <w:rPr>
          <w:rFonts w:ascii="Times New Roman" w:hAnsi="Times New Roman" w:cs="Times New Roman"/>
          <w:sz w:val="22"/>
        </w:rPr>
        <w:t>. En 201</w:t>
      </w:r>
      <w:r w:rsidR="0056769B">
        <w:rPr>
          <w:rFonts w:ascii="Times New Roman" w:hAnsi="Times New Roman" w:cs="Times New Roman"/>
          <w:sz w:val="22"/>
        </w:rPr>
        <w:t>6</w:t>
      </w:r>
      <w:r w:rsidR="00487B96" w:rsidRPr="00487B96">
        <w:rPr>
          <w:rFonts w:ascii="Times New Roman" w:hAnsi="Times New Roman" w:cs="Times New Roman"/>
          <w:sz w:val="22"/>
        </w:rPr>
        <w:t xml:space="preserve">, le taux de rentabilité était de </w:t>
      </w:r>
      <w:r w:rsidR="0056769B">
        <w:rPr>
          <w:rFonts w:ascii="Times New Roman" w:hAnsi="Times New Roman" w:cs="Times New Roman"/>
          <w:sz w:val="22"/>
        </w:rPr>
        <w:t xml:space="preserve">8,4 </w:t>
      </w:r>
      <w:r w:rsidR="00B117FD">
        <w:rPr>
          <w:rFonts w:ascii="Times New Roman" w:hAnsi="Times New Roman" w:cs="Times New Roman"/>
          <w:sz w:val="22"/>
        </w:rPr>
        <w:t xml:space="preserve">%, </w:t>
      </w:r>
      <w:r w:rsidR="00487B96" w:rsidRPr="00487B96">
        <w:rPr>
          <w:rFonts w:ascii="Times New Roman" w:hAnsi="Times New Roman" w:cs="Times New Roman"/>
          <w:sz w:val="22"/>
        </w:rPr>
        <w:t xml:space="preserve">contre </w:t>
      </w:r>
      <w:r w:rsidR="0056769B">
        <w:rPr>
          <w:rFonts w:ascii="Times New Roman" w:hAnsi="Times New Roman" w:cs="Times New Roman"/>
          <w:sz w:val="22"/>
        </w:rPr>
        <w:t xml:space="preserve">7,7 </w:t>
      </w:r>
      <w:r w:rsidR="00487B96" w:rsidRPr="00487B96">
        <w:rPr>
          <w:rFonts w:ascii="Times New Roman" w:hAnsi="Times New Roman" w:cs="Times New Roman"/>
          <w:sz w:val="22"/>
        </w:rPr>
        <w:t>% en 201</w:t>
      </w:r>
      <w:r w:rsidR="0056769B">
        <w:rPr>
          <w:rFonts w:ascii="Times New Roman" w:hAnsi="Times New Roman" w:cs="Times New Roman"/>
          <w:sz w:val="22"/>
        </w:rPr>
        <w:t>5</w:t>
      </w:r>
      <w:r w:rsidR="00487B96" w:rsidRPr="00487B96">
        <w:rPr>
          <w:rFonts w:ascii="Times New Roman" w:hAnsi="Times New Roman" w:cs="Times New Roman"/>
          <w:sz w:val="22"/>
        </w:rPr>
        <w:t>.</w:t>
      </w:r>
    </w:p>
    <w:p w14:paraId="7A55F8A9" w14:textId="2A585053" w:rsidR="000607AC" w:rsidRPr="000607AC" w:rsidRDefault="000607AC" w:rsidP="00027CD2">
      <w:pPr>
        <w:spacing w:before="120" w:after="120"/>
        <w:ind w:left="284"/>
        <w:jc w:val="center"/>
        <w:rPr>
          <w:rFonts w:ascii="Times New Roman" w:hAnsi="Times New Roman" w:cs="Times New Roman"/>
          <w:color w:val="000000"/>
          <w:sz w:val="22"/>
          <w:szCs w:val="22"/>
        </w:rPr>
      </w:pPr>
    </w:p>
    <w:p w14:paraId="0F7411E4" w14:textId="2853A6DA" w:rsidR="00BC359E" w:rsidRDefault="00487B96" w:rsidP="005A642E">
      <w:pPr>
        <w:spacing w:after="120"/>
        <w:ind w:left="567"/>
        <w:jc w:val="center"/>
        <w:rPr>
          <w:rFonts w:ascii="Times New Roman" w:hAnsi="Times New Roman" w:cs="Times New Roman"/>
          <w:color w:val="222222"/>
          <w:sz w:val="22"/>
          <w:szCs w:val="22"/>
        </w:rPr>
      </w:pPr>
      <w:r>
        <w:rPr>
          <w:noProof/>
        </w:rPr>
        <w:drawing>
          <wp:inline distT="0" distB="0" distL="0" distR="0" wp14:anchorId="2C34BEA8" wp14:editId="32346827">
            <wp:extent cx="4886326" cy="3157539"/>
            <wp:effectExtent l="0" t="0" r="9525" b="508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4A7A08" w14:textId="77777777" w:rsidR="00756837" w:rsidRDefault="00756837" w:rsidP="00756837">
      <w:pPr>
        <w:pStyle w:val="Dtailarticles"/>
        <w:spacing w:after="240"/>
        <w:rPr>
          <w:rFonts w:ascii="Times New Roman" w:hAnsi="Times New Roman"/>
          <w:color w:val="222222"/>
          <w:sz w:val="22"/>
          <w:szCs w:val="22"/>
        </w:rPr>
      </w:pPr>
    </w:p>
    <w:p w14:paraId="11E5AA23" w14:textId="77777777" w:rsidR="00756837" w:rsidRDefault="00756837" w:rsidP="00756837">
      <w:pPr>
        <w:pStyle w:val="Dtailarticles"/>
        <w:spacing w:after="240"/>
        <w:rPr>
          <w:rFonts w:ascii="Times New Roman" w:hAnsi="Times New Roman"/>
          <w:color w:val="222222"/>
          <w:sz w:val="22"/>
          <w:szCs w:val="22"/>
        </w:rPr>
      </w:pPr>
    </w:p>
    <w:p w14:paraId="3DC7D060" w14:textId="77777777" w:rsidR="00756837" w:rsidRDefault="00756837" w:rsidP="00756837">
      <w:pPr>
        <w:pStyle w:val="Dtailarticles"/>
        <w:spacing w:after="240"/>
        <w:rPr>
          <w:rFonts w:ascii="Times New Roman" w:hAnsi="Times New Roman"/>
          <w:sz w:val="22"/>
        </w:rPr>
      </w:pPr>
    </w:p>
    <w:tbl>
      <w:tblPr>
        <w:tblpPr w:leftFromText="141" w:rightFromText="141" w:vertAnchor="text" w:horzAnchor="margin" w:tblpXSpec="right" w:tblpY="498"/>
        <w:tblW w:w="4374" w:type="dxa"/>
        <w:tblCellMar>
          <w:left w:w="70" w:type="dxa"/>
          <w:right w:w="70" w:type="dxa"/>
        </w:tblCellMar>
        <w:tblLook w:val="04A0" w:firstRow="1" w:lastRow="0" w:firstColumn="1" w:lastColumn="0" w:noHBand="0" w:noVBand="1"/>
      </w:tblPr>
      <w:tblGrid>
        <w:gridCol w:w="734"/>
        <w:gridCol w:w="1278"/>
        <w:gridCol w:w="1138"/>
        <w:gridCol w:w="1224"/>
      </w:tblGrid>
      <w:tr w:rsidR="00756837" w:rsidRPr="00620F15" w14:paraId="0C703944" w14:textId="77777777" w:rsidTr="00756837">
        <w:trPr>
          <w:trHeight w:val="245"/>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881F7" w14:textId="77777777" w:rsidR="00756837" w:rsidRPr="006356AE" w:rsidRDefault="00756837" w:rsidP="00945618">
            <w:pPr>
              <w:jc w:val="center"/>
              <w:rPr>
                <w:rFonts w:ascii="Arial" w:hAnsi="Arial"/>
                <w:b/>
                <w:color w:val="000000"/>
                <w:sz w:val="18"/>
                <w:szCs w:val="18"/>
              </w:rPr>
            </w:pPr>
            <w:r w:rsidRPr="006356AE">
              <w:rPr>
                <w:rFonts w:ascii="Arial" w:hAnsi="Arial"/>
                <w:b/>
                <w:color w:val="000000"/>
                <w:sz w:val="18"/>
                <w:szCs w:val="18"/>
              </w:rPr>
              <w:t>Rang</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6CDE9A59" w14:textId="77777777" w:rsidR="00756837" w:rsidRPr="006356AE" w:rsidRDefault="00756837" w:rsidP="00945618">
            <w:pPr>
              <w:jc w:val="center"/>
              <w:rPr>
                <w:rFonts w:ascii="Arial" w:hAnsi="Arial"/>
                <w:b/>
                <w:color w:val="000000"/>
                <w:sz w:val="18"/>
                <w:szCs w:val="18"/>
              </w:rPr>
            </w:pPr>
            <w:r w:rsidRPr="006356AE">
              <w:rPr>
                <w:rFonts w:ascii="Arial" w:hAnsi="Arial"/>
                <w:b/>
                <w:color w:val="000000"/>
                <w:sz w:val="18"/>
                <w:szCs w:val="18"/>
              </w:rPr>
              <w:t>Pays</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14:paraId="32D43C52" w14:textId="77777777" w:rsidR="00756837" w:rsidRPr="006356AE" w:rsidRDefault="00756837" w:rsidP="00945618">
            <w:pPr>
              <w:jc w:val="center"/>
              <w:rPr>
                <w:rFonts w:ascii="Arial" w:hAnsi="Arial"/>
                <w:b/>
                <w:color w:val="000000"/>
                <w:sz w:val="18"/>
                <w:szCs w:val="18"/>
              </w:rPr>
            </w:pPr>
            <w:r w:rsidRPr="006356AE">
              <w:rPr>
                <w:rFonts w:ascii="Arial" w:hAnsi="Arial"/>
                <w:b/>
                <w:color w:val="000000"/>
                <w:sz w:val="18"/>
                <w:szCs w:val="18"/>
              </w:rPr>
              <w:t>Montants en Mds €</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131AF686" w14:textId="77777777" w:rsidR="00756837" w:rsidRPr="006356AE" w:rsidRDefault="00756837" w:rsidP="00945618">
            <w:pPr>
              <w:jc w:val="center"/>
              <w:rPr>
                <w:rFonts w:ascii="Arial" w:hAnsi="Arial"/>
                <w:b/>
                <w:color w:val="000000"/>
                <w:sz w:val="18"/>
                <w:szCs w:val="18"/>
              </w:rPr>
            </w:pPr>
            <w:r w:rsidRPr="006356AE">
              <w:rPr>
                <w:rFonts w:ascii="Arial" w:hAnsi="Arial"/>
                <w:b/>
                <w:color w:val="000000"/>
                <w:sz w:val="18"/>
                <w:szCs w:val="18"/>
              </w:rPr>
              <w:t>Part dans le total</w:t>
            </w:r>
          </w:p>
        </w:tc>
      </w:tr>
      <w:tr w:rsidR="006356AE" w:rsidRPr="00620F15" w14:paraId="72442D0C" w14:textId="77777777" w:rsidTr="00795D1C">
        <w:trPr>
          <w:trHeight w:val="24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14:paraId="48519D3A" w14:textId="755D947B" w:rsidR="006356AE" w:rsidRPr="00A071EB" w:rsidRDefault="006356AE" w:rsidP="006356AE">
            <w:pPr>
              <w:jc w:val="right"/>
              <w:rPr>
                <w:rFonts w:ascii="Arial" w:hAnsi="Arial"/>
                <w:color w:val="000000"/>
                <w:sz w:val="18"/>
                <w:szCs w:val="18"/>
              </w:rPr>
            </w:pPr>
            <w:r w:rsidRPr="00A071EB">
              <w:rPr>
                <w:rFonts w:ascii="Arial" w:hAnsi="Arial"/>
                <w:color w:val="000000"/>
                <w:sz w:val="18"/>
                <w:szCs w:val="18"/>
              </w:rPr>
              <w:t>1</w:t>
            </w:r>
          </w:p>
        </w:tc>
        <w:tc>
          <w:tcPr>
            <w:tcW w:w="1278" w:type="dxa"/>
            <w:tcBorders>
              <w:top w:val="nil"/>
              <w:left w:val="nil"/>
              <w:bottom w:val="single" w:sz="4" w:space="0" w:color="auto"/>
              <w:right w:val="single" w:sz="4" w:space="0" w:color="auto"/>
            </w:tcBorders>
            <w:shd w:val="clear" w:color="auto" w:fill="auto"/>
            <w:noWrap/>
            <w:hideMark/>
          </w:tcPr>
          <w:p w14:paraId="7E098465" w14:textId="2089FF4A" w:rsidR="006356AE" w:rsidRPr="00A071EB" w:rsidRDefault="006356AE" w:rsidP="006356AE">
            <w:pPr>
              <w:rPr>
                <w:rFonts w:ascii="Arial" w:hAnsi="Arial"/>
                <w:sz w:val="18"/>
              </w:rPr>
            </w:pPr>
            <w:r w:rsidRPr="00A071EB">
              <w:rPr>
                <w:rFonts w:ascii="Arial" w:hAnsi="Arial"/>
                <w:sz w:val="18"/>
              </w:rPr>
              <w:t>Suède</w:t>
            </w:r>
          </w:p>
        </w:tc>
        <w:tc>
          <w:tcPr>
            <w:tcW w:w="1138" w:type="dxa"/>
            <w:tcBorders>
              <w:top w:val="nil"/>
              <w:left w:val="nil"/>
              <w:bottom w:val="single" w:sz="4" w:space="0" w:color="auto"/>
              <w:right w:val="single" w:sz="4" w:space="0" w:color="auto"/>
            </w:tcBorders>
            <w:shd w:val="clear" w:color="auto" w:fill="auto"/>
            <w:noWrap/>
            <w:vAlign w:val="bottom"/>
            <w:hideMark/>
          </w:tcPr>
          <w:p w14:paraId="4E291E16" w14:textId="335EF884"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28,2</w:t>
            </w:r>
          </w:p>
        </w:tc>
        <w:tc>
          <w:tcPr>
            <w:tcW w:w="1224" w:type="dxa"/>
            <w:tcBorders>
              <w:top w:val="nil"/>
              <w:left w:val="nil"/>
              <w:bottom w:val="single" w:sz="4" w:space="0" w:color="auto"/>
              <w:right w:val="single" w:sz="4" w:space="0" w:color="auto"/>
            </w:tcBorders>
            <w:shd w:val="clear" w:color="auto" w:fill="auto"/>
            <w:noWrap/>
            <w:vAlign w:val="bottom"/>
            <w:hideMark/>
          </w:tcPr>
          <w:p w14:paraId="1A741487" w14:textId="49985E11"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26,8%</w:t>
            </w:r>
          </w:p>
        </w:tc>
      </w:tr>
      <w:tr w:rsidR="006356AE" w:rsidRPr="00620F15" w14:paraId="3521A22B" w14:textId="77777777" w:rsidTr="00795D1C">
        <w:trPr>
          <w:trHeight w:val="24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14:paraId="3C81136E" w14:textId="00048CC0" w:rsidR="006356AE" w:rsidRPr="00A071EB" w:rsidRDefault="006356AE" w:rsidP="006356AE">
            <w:pPr>
              <w:jc w:val="right"/>
              <w:rPr>
                <w:rFonts w:ascii="Arial" w:hAnsi="Arial"/>
                <w:color w:val="000000"/>
                <w:sz w:val="18"/>
                <w:szCs w:val="18"/>
              </w:rPr>
            </w:pPr>
            <w:r w:rsidRPr="00A071EB">
              <w:rPr>
                <w:rFonts w:ascii="Arial" w:hAnsi="Arial"/>
                <w:color w:val="000000"/>
                <w:sz w:val="18"/>
                <w:szCs w:val="18"/>
              </w:rPr>
              <w:t>2</w:t>
            </w:r>
          </w:p>
        </w:tc>
        <w:tc>
          <w:tcPr>
            <w:tcW w:w="1278" w:type="dxa"/>
            <w:tcBorders>
              <w:top w:val="nil"/>
              <w:left w:val="nil"/>
              <w:bottom w:val="single" w:sz="4" w:space="0" w:color="auto"/>
              <w:right w:val="single" w:sz="4" w:space="0" w:color="auto"/>
            </w:tcBorders>
            <w:shd w:val="clear" w:color="auto" w:fill="auto"/>
            <w:noWrap/>
            <w:hideMark/>
          </w:tcPr>
          <w:p w14:paraId="3ED3365B" w14:textId="2D7064E4" w:rsidR="006356AE" w:rsidRPr="00A071EB" w:rsidRDefault="006356AE" w:rsidP="006356AE">
            <w:pPr>
              <w:rPr>
                <w:rFonts w:ascii="Arial" w:hAnsi="Arial"/>
                <w:sz w:val="18"/>
              </w:rPr>
            </w:pPr>
            <w:r w:rsidRPr="00A071EB">
              <w:rPr>
                <w:rFonts w:ascii="Arial" w:hAnsi="Arial"/>
                <w:sz w:val="18"/>
              </w:rPr>
              <w:t>Pays-Bas</w:t>
            </w:r>
          </w:p>
        </w:tc>
        <w:tc>
          <w:tcPr>
            <w:tcW w:w="1138" w:type="dxa"/>
            <w:tcBorders>
              <w:top w:val="nil"/>
              <w:left w:val="nil"/>
              <w:bottom w:val="single" w:sz="4" w:space="0" w:color="auto"/>
              <w:right w:val="single" w:sz="4" w:space="0" w:color="auto"/>
            </w:tcBorders>
            <w:shd w:val="clear" w:color="auto" w:fill="auto"/>
            <w:noWrap/>
            <w:vAlign w:val="bottom"/>
            <w:hideMark/>
          </w:tcPr>
          <w:p w14:paraId="47D92144" w14:textId="47F65988"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18,3</w:t>
            </w:r>
          </w:p>
        </w:tc>
        <w:tc>
          <w:tcPr>
            <w:tcW w:w="1224" w:type="dxa"/>
            <w:tcBorders>
              <w:top w:val="nil"/>
              <w:left w:val="nil"/>
              <w:bottom w:val="single" w:sz="4" w:space="0" w:color="auto"/>
              <w:right w:val="single" w:sz="4" w:space="0" w:color="auto"/>
            </w:tcBorders>
            <w:shd w:val="clear" w:color="auto" w:fill="auto"/>
            <w:noWrap/>
            <w:vAlign w:val="bottom"/>
            <w:hideMark/>
          </w:tcPr>
          <w:p w14:paraId="6FDE103B" w14:textId="1A9923F1"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17,3%</w:t>
            </w:r>
          </w:p>
        </w:tc>
      </w:tr>
      <w:tr w:rsidR="006356AE" w:rsidRPr="00620F15" w14:paraId="0082757B" w14:textId="77777777" w:rsidTr="00795D1C">
        <w:trPr>
          <w:trHeight w:val="24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14:paraId="6657137A" w14:textId="08615F7E" w:rsidR="006356AE" w:rsidRPr="00A071EB" w:rsidRDefault="006356AE" w:rsidP="006356AE">
            <w:pPr>
              <w:jc w:val="right"/>
              <w:rPr>
                <w:rFonts w:ascii="Arial" w:hAnsi="Arial"/>
                <w:b/>
                <w:color w:val="000000"/>
                <w:sz w:val="18"/>
                <w:szCs w:val="18"/>
              </w:rPr>
            </w:pPr>
            <w:r w:rsidRPr="00A071EB">
              <w:rPr>
                <w:rFonts w:ascii="Arial" w:hAnsi="Arial"/>
                <w:b/>
                <w:color w:val="000000"/>
                <w:sz w:val="18"/>
                <w:szCs w:val="18"/>
              </w:rPr>
              <w:t>3</w:t>
            </w:r>
          </w:p>
        </w:tc>
        <w:tc>
          <w:tcPr>
            <w:tcW w:w="1278" w:type="dxa"/>
            <w:tcBorders>
              <w:top w:val="nil"/>
              <w:left w:val="nil"/>
              <w:bottom w:val="single" w:sz="4" w:space="0" w:color="auto"/>
              <w:right w:val="single" w:sz="4" w:space="0" w:color="auto"/>
            </w:tcBorders>
            <w:shd w:val="clear" w:color="auto" w:fill="auto"/>
            <w:noWrap/>
            <w:hideMark/>
          </w:tcPr>
          <w:p w14:paraId="35931094" w14:textId="37A09868" w:rsidR="006356AE" w:rsidRPr="00A071EB" w:rsidRDefault="006356AE" w:rsidP="006356AE">
            <w:pPr>
              <w:rPr>
                <w:rFonts w:ascii="Arial" w:hAnsi="Arial"/>
                <w:b/>
                <w:sz w:val="18"/>
              </w:rPr>
            </w:pPr>
            <w:r w:rsidRPr="00A071EB">
              <w:rPr>
                <w:rFonts w:ascii="Arial" w:hAnsi="Arial"/>
                <w:b/>
                <w:sz w:val="18"/>
              </w:rPr>
              <w:t>France</w:t>
            </w:r>
          </w:p>
        </w:tc>
        <w:tc>
          <w:tcPr>
            <w:tcW w:w="1138" w:type="dxa"/>
            <w:tcBorders>
              <w:top w:val="nil"/>
              <w:left w:val="nil"/>
              <w:bottom w:val="single" w:sz="4" w:space="0" w:color="auto"/>
              <w:right w:val="single" w:sz="4" w:space="0" w:color="auto"/>
            </w:tcBorders>
            <w:shd w:val="clear" w:color="auto" w:fill="auto"/>
            <w:noWrap/>
            <w:vAlign w:val="bottom"/>
            <w:hideMark/>
          </w:tcPr>
          <w:p w14:paraId="65EFCEC3" w14:textId="2B73396A" w:rsidR="006356AE" w:rsidRPr="00A071EB" w:rsidRDefault="006356AE" w:rsidP="006356AE">
            <w:pPr>
              <w:jc w:val="center"/>
              <w:rPr>
                <w:rFonts w:ascii="Arial" w:hAnsi="Arial"/>
                <w:b/>
                <w:color w:val="000000"/>
                <w:sz w:val="18"/>
                <w:szCs w:val="18"/>
              </w:rPr>
            </w:pPr>
            <w:r w:rsidRPr="00A071EB">
              <w:rPr>
                <w:rFonts w:ascii="Arial" w:hAnsi="Arial"/>
                <w:b/>
                <w:color w:val="000000"/>
                <w:sz w:val="18"/>
                <w:szCs w:val="22"/>
              </w:rPr>
              <w:t>14,0</w:t>
            </w:r>
          </w:p>
        </w:tc>
        <w:tc>
          <w:tcPr>
            <w:tcW w:w="1224" w:type="dxa"/>
            <w:tcBorders>
              <w:top w:val="nil"/>
              <w:left w:val="nil"/>
              <w:bottom w:val="single" w:sz="4" w:space="0" w:color="auto"/>
              <w:right w:val="single" w:sz="4" w:space="0" w:color="auto"/>
            </w:tcBorders>
            <w:shd w:val="clear" w:color="auto" w:fill="auto"/>
            <w:noWrap/>
            <w:vAlign w:val="bottom"/>
            <w:hideMark/>
          </w:tcPr>
          <w:p w14:paraId="3BDBF63E" w14:textId="48949D3F" w:rsidR="006356AE" w:rsidRPr="00A071EB" w:rsidRDefault="006356AE" w:rsidP="006356AE">
            <w:pPr>
              <w:jc w:val="center"/>
              <w:rPr>
                <w:rFonts w:ascii="Arial" w:hAnsi="Arial"/>
                <w:b/>
                <w:color w:val="000000"/>
                <w:sz w:val="18"/>
                <w:szCs w:val="18"/>
              </w:rPr>
            </w:pPr>
            <w:r w:rsidRPr="00A071EB">
              <w:rPr>
                <w:rFonts w:ascii="Arial" w:hAnsi="Arial"/>
                <w:b/>
                <w:color w:val="000000"/>
                <w:sz w:val="18"/>
                <w:szCs w:val="22"/>
              </w:rPr>
              <w:t>13,2%</w:t>
            </w:r>
          </w:p>
        </w:tc>
      </w:tr>
      <w:tr w:rsidR="006356AE" w:rsidRPr="00620F15" w14:paraId="60A47B72" w14:textId="77777777" w:rsidTr="00795D1C">
        <w:trPr>
          <w:trHeight w:val="24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14:paraId="27E191B4" w14:textId="469B22D8" w:rsidR="006356AE" w:rsidRPr="00A071EB" w:rsidRDefault="006356AE" w:rsidP="006356AE">
            <w:pPr>
              <w:jc w:val="right"/>
              <w:rPr>
                <w:rFonts w:ascii="Arial" w:hAnsi="Arial"/>
                <w:color w:val="000000"/>
                <w:sz w:val="18"/>
                <w:szCs w:val="18"/>
              </w:rPr>
            </w:pPr>
            <w:r w:rsidRPr="00A071EB">
              <w:rPr>
                <w:rFonts w:ascii="Arial" w:hAnsi="Arial"/>
                <w:color w:val="000000"/>
                <w:sz w:val="18"/>
                <w:szCs w:val="18"/>
              </w:rPr>
              <w:t>4</w:t>
            </w:r>
          </w:p>
        </w:tc>
        <w:tc>
          <w:tcPr>
            <w:tcW w:w="1278" w:type="dxa"/>
            <w:tcBorders>
              <w:top w:val="nil"/>
              <w:left w:val="nil"/>
              <w:bottom w:val="single" w:sz="4" w:space="0" w:color="auto"/>
              <w:right w:val="single" w:sz="4" w:space="0" w:color="auto"/>
            </w:tcBorders>
            <w:shd w:val="clear" w:color="auto" w:fill="auto"/>
            <w:noWrap/>
            <w:hideMark/>
          </w:tcPr>
          <w:p w14:paraId="139F6BB4" w14:textId="52FD2807" w:rsidR="006356AE" w:rsidRPr="00A071EB" w:rsidRDefault="006356AE" w:rsidP="006356AE">
            <w:pPr>
              <w:rPr>
                <w:rFonts w:ascii="Arial" w:hAnsi="Arial"/>
                <w:sz w:val="18"/>
              </w:rPr>
            </w:pPr>
            <w:r w:rsidRPr="00A071EB">
              <w:rPr>
                <w:rFonts w:ascii="Arial" w:hAnsi="Arial"/>
                <w:sz w:val="18"/>
              </w:rPr>
              <w:t>Etats-Unis</w:t>
            </w:r>
          </w:p>
        </w:tc>
        <w:tc>
          <w:tcPr>
            <w:tcW w:w="1138" w:type="dxa"/>
            <w:tcBorders>
              <w:top w:val="nil"/>
              <w:left w:val="nil"/>
              <w:bottom w:val="single" w:sz="4" w:space="0" w:color="auto"/>
              <w:right w:val="single" w:sz="4" w:space="0" w:color="auto"/>
            </w:tcBorders>
            <w:shd w:val="clear" w:color="auto" w:fill="auto"/>
            <w:noWrap/>
            <w:vAlign w:val="bottom"/>
            <w:hideMark/>
          </w:tcPr>
          <w:p w14:paraId="65F3980A" w14:textId="6C2AAA15"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6,7</w:t>
            </w:r>
          </w:p>
        </w:tc>
        <w:tc>
          <w:tcPr>
            <w:tcW w:w="1224" w:type="dxa"/>
            <w:tcBorders>
              <w:top w:val="nil"/>
              <w:left w:val="nil"/>
              <w:bottom w:val="single" w:sz="4" w:space="0" w:color="auto"/>
              <w:right w:val="single" w:sz="4" w:space="0" w:color="auto"/>
            </w:tcBorders>
            <w:shd w:val="clear" w:color="auto" w:fill="auto"/>
            <w:noWrap/>
            <w:vAlign w:val="bottom"/>
            <w:hideMark/>
          </w:tcPr>
          <w:p w14:paraId="4D1CB04E" w14:textId="07D9B901"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6,3%</w:t>
            </w:r>
          </w:p>
        </w:tc>
      </w:tr>
      <w:tr w:rsidR="006356AE" w:rsidRPr="00620F15" w14:paraId="65BA9989" w14:textId="77777777" w:rsidTr="00795D1C">
        <w:trPr>
          <w:trHeight w:val="24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14:paraId="2120BFD3" w14:textId="105AD63E" w:rsidR="006356AE" w:rsidRPr="00A071EB" w:rsidRDefault="006356AE" w:rsidP="006356AE">
            <w:pPr>
              <w:jc w:val="right"/>
              <w:rPr>
                <w:rFonts w:ascii="Arial" w:hAnsi="Arial"/>
                <w:color w:val="000000"/>
                <w:sz w:val="18"/>
                <w:szCs w:val="18"/>
              </w:rPr>
            </w:pPr>
            <w:r w:rsidRPr="00A071EB">
              <w:rPr>
                <w:rFonts w:ascii="Arial" w:hAnsi="Arial"/>
                <w:color w:val="000000"/>
                <w:sz w:val="18"/>
                <w:szCs w:val="18"/>
              </w:rPr>
              <w:t>5</w:t>
            </w:r>
          </w:p>
        </w:tc>
        <w:tc>
          <w:tcPr>
            <w:tcW w:w="1278" w:type="dxa"/>
            <w:tcBorders>
              <w:top w:val="nil"/>
              <w:left w:val="nil"/>
              <w:bottom w:val="single" w:sz="4" w:space="0" w:color="auto"/>
              <w:right w:val="single" w:sz="4" w:space="0" w:color="auto"/>
            </w:tcBorders>
            <w:shd w:val="clear" w:color="auto" w:fill="auto"/>
            <w:noWrap/>
            <w:hideMark/>
          </w:tcPr>
          <w:p w14:paraId="006BBB5A" w14:textId="66A116E2" w:rsidR="006356AE" w:rsidRPr="00A071EB" w:rsidRDefault="006356AE" w:rsidP="006356AE">
            <w:pPr>
              <w:rPr>
                <w:rFonts w:ascii="Arial" w:hAnsi="Arial"/>
                <w:sz w:val="18"/>
              </w:rPr>
            </w:pPr>
            <w:r w:rsidRPr="00A071EB">
              <w:rPr>
                <w:rFonts w:ascii="Arial" w:hAnsi="Arial"/>
                <w:sz w:val="18"/>
              </w:rPr>
              <w:t>Belgique</w:t>
            </w:r>
          </w:p>
        </w:tc>
        <w:tc>
          <w:tcPr>
            <w:tcW w:w="1138" w:type="dxa"/>
            <w:tcBorders>
              <w:top w:val="nil"/>
              <w:left w:val="nil"/>
              <w:bottom w:val="single" w:sz="4" w:space="0" w:color="auto"/>
              <w:right w:val="single" w:sz="4" w:space="0" w:color="auto"/>
            </w:tcBorders>
            <w:shd w:val="clear" w:color="auto" w:fill="auto"/>
            <w:noWrap/>
            <w:vAlign w:val="bottom"/>
            <w:hideMark/>
          </w:tcPr>
          <w:p w14:paraId="3FFF19ED" w14:textId="15A9C93C"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3,2</w:t>
            </w:r>
          </w:p>
        </w:tc>
        <w:tc>
          <w:tcPr>
            <w:tcW w:w="1224" w:type="dxa"/>
            <w:tcBorders>
              <w:top w:val="nil"/>
              <w:left w:val="nil"/>
              <w:bottom w:val="single" w:sz="4" w:space="0" w:color="auto"/>
              <w:right w:val="single" w:sz="4" w:space="0" w:color="auto"/>
            </w:tcBorders>
            <w:shd w:val="clear" w:color="auto" w:fill="auto"/>
            <w:noWrap/>
            <w:vAlign w:val="bottom"/>
            <w:hideMark/>
          </w:tcPr>
          <w:p w14:paraId="389275B6" w14:textId="787A8C07"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3,0%</w:t>
            </w:r>
          </w:p>
        </w:tc>
      </w:tr>
      <w:tr w:rsidR="006356AE" w:rsidRPr="00620F15" w14:paraId="35510416" w14:textId="77777777" w:rsidTr="00795D1C">
        <w:trPr>
          <w:trHeight w:val="24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14:paraId="42A1157B" w14:textId="2844F512" w:rsidR="006356AE" w:rsidRPr="00A071EB" w:rsidRDefault="006356AE" w:rsidP="006356AE">
            <w:pPr>
              <w:jc w:val="right"/>
              <w:rPr>
                <w:rFonts w:ascii="Arial" w:hAnsi="Arial"/>
                <w:color w:val="000000"/>
                <w:sz w:val="18"/>
                <w:szCs w:val="18"/>
              </w:rPr>
            </w:pPr>
            <w:r w:rsidRPr="00A071EB">
              <w:rPr>
                <w:rFonts w:ascii="Arial" w:hAnsi="Arial"/>
                <w:color w:val="000000"/>
                <w:sz w:val="18"/>
                <w:szCs w:val="18"/>
              </w:rPr>
              <w:t>6</w:t>
            </w:r>
          </w:p>
        </w:tc>
        <w:tc>
          <w:tcPr>
            <w:tcW w:w="1278" w:type="dxa"/>
            <w:tcBorders>
              <w:top w:val="nil"/>
              <w:left w:val="nil"/>
              <w:bottom w:val="single" w:sz="4" w:space="0" w:color="auto"/>
              <w:right w:val="single" w:sz="4" w:space="0" w:color="auto"/>
            </w:tcBorders>
            <w:shd w:val="clear" w:color="auto" w:fill="auto"/>
            <w:noWrap/>
            <w:hideMark/>
          </w:tcPr>
          <w:p w14:paraId="38C1DB10" w14:textId="59DFE41F" w:rsidR="006356AE" w:rsidRPr="00A071EB" w:rsidRDefault="006356AE" w:rsidP="006356AE">
            <w:pPr>
              <w:rPr>
                <w:rFonts w:ascii="Arial" w:hAnsi="Arial"/>
                <w:sz w:val="18"/>
              </w:rPr>
            </w:pPr>
            <w:r w:rsidRPr="00A071EB">
              <w:rPr>
                <w:rFonts w:ascii="Arial" w:hAnsi="Arial"/>
                <w:sz w:val="18"/>
              </w:rPr>
              <w:t>Russie</w:t>
            </w:r>
          </w:p>
        </w:tc>
        <w:tc>
          <w:tcPr>
            <w:tcW w:w="1138" w:type="dxa"/>
            <w:tcBorders>
              <w:top w:val="nil"/>
              <w:left w:val="nil"/>
              <w:bottom w:val="single" w:sz="4" w:space="0" w:color="auto"/>
              <w:right w:val="single" w:sz="4" w:space="0" w:color="auto"/>
            </w:tcBorders>
            <w:shd w:val="clear" w:color="auto" w:fill="auto"/>
            <w:noWrap/>
            <w:vAlign w:val="bottom"/>
            <w:hideMark/>
          </w:tcPr>
          <w:p w14:paraId="7FFDC44F" w14:textId="00CC60BF"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2,7</w:t>
            </w:r>
          </w:p>
        </w:tc>
        <w:tc>
          <w:tcPr>
            <w:tcW w:w="1224" w:type="dxa"/>
            <w:tcBorders>
              <w:top w:val="nil"/>
              <w:left w:val="nil"/>
              <w:bottom w:val="single" w:sz="4" w:space="0" w:color="auto"/>
              <w:right w:val="single" w:sz="4" w:space="0" w:color="auto"/>
            </w:tcBorders>
            <w:shd w:val="clear" w:color="auto" w:fill="auto"/>
            <w:noWrap/>
            <w:vAlign w:val="bottom"/>
            <w:hideMark/>
          </w:tcPr>
          <w:p w14:paraId="45610030" w14:textId="25F7A36B"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2,6%</w:t>
            </w:r>
          </w:p>
        </w:tc>
      </w:tr>
      <w:tr w:rsidR="006356AE" w:rsidRPr="00620F15" w14:paraId="4AA55AEC" w14:textId="77777777" w:rsidTr="00795D1C">
        <w:trPr>
          <w:trHeight w:val="24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14:paraId="001680E2" w14:textId="178A0BE9" w:rsidR="006356AE" w:rsidRPr="00A071EB" w:rsidRDefault="006356AE" w:rsidP="006356AE">
            <w:pPr>
              <w:jc w:val="right"/>
              <w:rPr>
                <w:rFonts w:ascii="Arial" w:hAnsi="Arial"/>
                <w:color w:val="000000"/>
                <w:sz w:val="18"/>
                <w:szCs w:val="18"/>
              </w:rPr>
            </w:pPr>
            <w:r w:rsidRPr="00A071EB">
              <w:rPr>
                <w:rFonts w:ascii="Arial" w:hAnsi="Arial"/>
                <w:color w:val="000000"/>
                <w:sz w:val="18"/>
                <w:szCs w:val="18"/>
              </w:rPr>
              <w:t>7</w:t>
            </w:r>
          </w:p>
        </w:tc>
        <w:tc>
          <w:tcPr>
            <w:tcW w:w="1278" w:type="dxa"/>
            <w:tcBorders>
              <w:top w:val="nil"/>
              <w:left w:val="nil"/>
              <w:bottom w:val="single" w:sz="4" w:space="0" w:color="auto"/>
              <w:right w:val="single" w:sz="4" w:space="0" w:color="auto"/>
            </w:tcBorders>
            <w:shd w:val="clear" w:color="auto" w:fill="auto"/>
            <w:noWrap/>
            <w:hideMark/>
          </w:tcPr>
          <w:p w14:paraId="7A5B1D1D" w14:textId="0371E674" w:rsidR="006356AE" w:rsidRPr="00A071EB" w:rsidRDefault="006356AE" w:rsidP="006356AE">
            <w:pPr>
              <w:rPr>
                <w:rFonts w:ascii="Arial" w:hAnsi="Arial"/>
                <w:sz w:val="18"/>
              </w:rPr>
            </w:pPr>
            <w:r w:rsidRPr="00A071EB">
              <w:rPr>
                <w:rFonts w:ascii="Arial" w:hAnsi="Arial"/>
                <w:sz w:val="18"/>
              </w:rPr>
              <w:t>Luxembourg</w:t>
            </w:r>
          </w:p>
        </w:tc>
        <w:tc>
          <w:tcPr>
            <w:tcW w:w="1138" w:type="dxa"/>
            <w:tcBorders>
              <w:top w:val="nil"/>
              <w:left w:val="nil"/>
              <w:bottom w:val="single" w:sz="4" w:space="0" w:color="auto"/>
              <w:right w:val="single" w:sz="4" w:space="0" w:color="auto"/>
            </w:tcBorders>
            <w:shd w:val="clear" w:color="auto" w:fill="auto"/>
            <w:noWrap/>
            <w:vAlign w:val="bottom"/>
            <w:hideMark/>
          </w:tcPr>
          <w:p w14:paraId="1478D887" w14:textId="3F85F085"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2,6</w:t>
            </w:r>
          </w:p>
        </w:tc>
        <w:tc>
          <w:tcPr>
            <w:tcW w:w="1224" w:type="dxa"/>
            <w:tcBorders>
              <w:top w:val="nil"/>
              <w:left w:val="nil"/>
              <w:bottom w:val="single" w:sz="4" w:space="0" w:color="auto"/>
              <w:right w:val="single" w:sz="4" w:space="0" w:color="auto"/>
            </w:tcBorders>
            <w:shd w:val="clear" w:color="auto" w:fill="auto"/>
            <w:noWrap/>
            <w:vAlign w:val="bottom"/>
            <w:hideMark/>
          </w:tcPr>
          <w:p w14:paraId="7B175F06" w14:textId="78455991"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2,4%</w:t>
            </w:r>
          </w:p>
        </w:tc>
      </w:tr>
      <w:tr w:rsidR="006356AE" w:rsidRPr="00620F15" w14:paraId="6CAA9A65" w14:textId="77777777" w:rsidTr="00795D1C">
        <w:trPr>
          <w:trHeight w:val="24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14:paraId="449DDF62" w14:textId="12DE613F" w:rsidR="006356AE" w:rsidRPr="00A071EB" w:rsidRDefault="006356AE" w:rsidP="006356AE">
            <w:pPr>
              <w:jc w:val="right"/>
              <w:rPr>
                <w:rFonts w:ascii="Arial" w:hAnsi="Arial"/>
                <w:color w:val="000000"/>
                <w:sz w:val="18"/>
                <w:szCs w:val="18"/>
              </w:rPr>
            </w:pPr>
            <w:r w:rsidRPr="00A071EB">
              <w:rPr>
                <w:rFonts w:ascii="Arial" w:hAnsi="Arial"/>
                <w:color w:val="000000"/>
                <w:sz w:val="18"/>
                <w:szCs w:val="18"/>
              </w:rPr>
              <w:t>8</w:t>
            </w:r>
          </w:p>
        </w:tc>
        <w:tc>
          <w:tcPr>
            <w:tcW w:w="1278" w:type="dxa"/>
            <w:tcBorders>
              <w:top w:val="nil"/>
              <w:left w:val="nil"/>
              <w:bottom w:val="single" w:sz="4" w:space="0" w:color="auto"/>
              <w:right w:val="single" w:sz="4" w:space="0" w:color="auto"/>
            </w:tcBorders>
            <w:shd w:val="clear" w:color="auto" w:fill="auto"/>
            <w:noWrap/>
            <w:hideMark/>
          </w:tcPr>
          <w:p w14:paraId="778F8FA9" w14:textId="53546016" w:rsidR="006356AE" w:rsidRPr="00A071EB" w:rsidRDefault="006356AE" w:rsidP="006356AE">
            <w:pPr>
              <w:rPr>
                <w:rFonts w:ascii="Arial" w:hAnsi="Arial"/>
                <w:sz w:val="18"/>
              </w:rPr>
            </w:pPr>
            <w:r w:rsidRPr="00A071EB">
              <w:rPr>
                <w:rFonts w:ascii="Arial" w:hAnsi="Arial"/>
                <w:sz w:val="18"/>
              </w:rPr>
              <w:t>Norvège</w:t>
            </w:r>
          </w:p>
        </w:tc>
        <w:tc>
          <w:tcPr>
            <w:tcW w:w="1138" w:type="dxa"/>
            <w:tcBorders>
              <w:top w:val="nil"/>
              <w:left w:val="nil"/>
              <w:bottom w:val="single" w:sz="4" w:space="0" w:color="auto"/>
              <w:right w:val="single" w:sz="4" w:space="0" w:color="auto"/>
            </w:tcBorders>
            <w:shd w:val="clear" w:color="auto" w:fill="auto"/>
            <w:noWrap/>
            <w:vAlign w:val="bottom"/>
            <w:hideMark/>
          </w:tcPr>
          <w:p w14:paraId="59873729" w14:textId="22D48CEF"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2,3</w:t>
            </w:r>
          </w:p>
        </w:tc>
        <w:tc>
          <w:tcPr>
            <w:tcW w:w="1224" w:type="dxa"/>
            <w:tcBorders>
              <w:top w:val="nil"/>
              <w:left w:val="nil"/>
              <w:bottom w:val="single" w:sz="4" w:space="0" w:color="auto"/>
              <w:right w:val="single" w:sz="4" w:space="0" w:color="auto"/>
            </w:tcBorders>
            <w:shd w:val="clear" w:color="auto" w:fill="auto"/>
            <w:noWrap/>
            <w:vAlign w:val="bottom"/>
            <w:hideMark/>
          </w:tcPr>
          <w:p w14:paraId="335C07F9" w14:textId="23C3353E"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2,2%</w:t>
            </w:r>
          </w:p>
        </w:tc>
      </w:tr>
      <w:tr w:rsidR="006356AE" w:rsidRPr="00620F15" w14:paraId="56161927" w14:textId="77777777" w:rsidTr="00795D1C">
        <w:trPr>
          <w:trHeight w:val="24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14:paraId="67F204B5" w14:textId="68CD36FB" w:rsidR="006356AE" w:rsidRPr="00A071EB" w:rsidRDefault="006356AE" w:rsidP="006356AE">
            <w:pPr>
              <w:jc w:val="right"/>
              <w:rPr>
                <w:rFonts w:ascii="Arial" w:hAnsi="Arial"/>
                <w:color w:val="000000"/>
                <w:sz w:val="18"/>
                <w:szCs w:val="18"/>
              </w:rPr>
            </w:pPr>
            <w:r w:rsidRPr="00A071EB">
              <w:rPr>
                <w:rFonts w:ascii="Arial" w:hAnsi="Arial"/>
                <w:color w:val="000000"/>
                <w:sz w:val="18"/>
                <w:szCs w:val="18"/>
              </w:rPr>
              <w:t>9</w:t>
            </w:r>
          </w:p>
        </w:tc>
        <w:tc>
          <w:tcPr>
            <w:tcW w:w="1278" w:type="dxa"/>
            <w:tcBorders>
              <w:top w:val="nil"/>
              <w:left w:val="nil"/>
              <w:bottom w:val="single" w:sz="4" w:space="0" w:color="auto"/>
              <w:right w:val="single" w:sz="4" w:space="0" w:color="auto"/>
            </w:tcBorders>
            <w:shd w:val="clear" w:color="auto" w:fill="auto"/>
            <w:noWrap/>
            <w:hideMark/>
          </w:tcPr>
          <w:p w14:paraId="4AAB82DF" w14:textId="2C152028" w:rsidR="006356AE" w:rsidRPr="00A071EB" w:rsidRDefault="006356AE" w:rsidP="006356AE">
            <w:pPr>
              <w:rPr>
                <w:rFonts w:ascii="Arial" w:hAnsi="Arial"/>
                <w:sz w:val="18"/>
              </w:rPr>
            </w:pPr>
            <w:r w:rsidRPr="00A071EB">
              <w:rPr>
                <w:rFonts w:ascii="Arial" w:hAnsi="Arial"/>
                <w:sz w:val="18"/>
              </w:rPr>
              <w:t>Allemagne</w:t>
            </w:r>
          </w:p>
        </w:tc>
        <w:tc>
          <w:tcPr>
            <w:tcW w:w="1138" w:type="dxa"/>
            <w:tcBorders>
              <w:top w:val="nil"/>
              <w:left w:val="nil"/>
              <w:bottom w:val="single" w:sz="4" w:space="0" w:color="auto"/>
              <w:right w:val="single" w:sz="4" w:space="0" w:color="auto"/>
            </w:tcBorders>
            <w:shd w:val="clear" w:color="auto" w:fill="auto"/>
            <w:noWrap/>
            <w:vAlign w:val="bottom"/>
            <w:hideMark/>
          </w:tcPr>
          <w:p w14:paraId="30C88D2A" w14:textId="6A685ACB"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2,0</w:t>
            </w:r>
          </w:p>
        </w:tc>
        <w:tc>
          <w:tcPr>
            <w:tcW w:w="1224" w:type="dxa"/>
            <w:tcBorders>
              <w:top w:val="nil"/>
              <w:left w:val="nil"/>
              <w:bottom w:val="single" w:sz="4" w:space="0" w:color="auto"/>
              <w:right w:val="single" w:sz="4" w:space="0" w:color="auto"/>
            </w:tcBorders>
            <w:shd w:val="clear" w:color="auto" w:fill="auto"/>
            <w:noWrap/>
            <w:vAlign w:val="bottom"/>
            <w:hideMark/>
          </w:tcPr>
          <w:p w14:paraId="18DC4A2B" w14:textId="0B737E9E" w:rsidR="006356AE" w:rsidRPr="00A071EB" w:rsidRDefault="006356AE" w:rsidP="006356AE">
            <w:pPr>
              <w:jc w:val="center"/>
              <w:rPr>
                <w:rFonts w:ascii="Arial" w:hAnsi="Arial"/>
                <w:color w:val="000000"/>
                <w:sz w:val="18"/>
                <w:szCs w:val="18"/>
              </w:rPr>
            </w:pPr>
            <w:r w:rsidRPr="00A071EB">
              <w:rPr>
                <w:rFonts w:ascii="Arial" w:hAnsi="Arial"/>
                <w:color w:val="000000"/>
                <w:sz w:val="18"/>
                <w:szCs w:val="22"/>
              </w:rPr>
              <w:t>1,9%</w:t>
            </w:r>
          </w:p>
        </w:tc>
      </w:tr>
      <w:tr w:rsidR="006356AE" w:rsidRPr="00620F15" w14:paraId="1139DF9B" w14:textId="77777777" w:rsidTr="00795D1C">
        <w:trPr>
          <w:trHeight w:val="245"/>
        </w:trPr>
        <w:tc>
          <w:tcPr>
            <w:tcW w:w="734" w:type="dxa"/>
            <w:tcBorders>
              <w:top w:val="nil"/>
              <w:left w:val="single" w:sz="4" w:space="0" w:color="auto"/>
              <w:bottom w:val="single" w:sz="4" w:space="0" w:color="auto"/>
              <w:right w:val="single" w:sz="4" w:space="0" w:color="auto"/>
            </w:tcBorders>
            <w:shd w:val="clear" w:color="auto" w:fill="auto"/>
            <w:noWrap/>
            <w:vAlign w:val="bottom"/>
            <w:hideMark/>
          </w:tcPr>
          <w:p w14:paraId="28CFDC97" w14:textId="33958DF3" w:rsidR="006356AE" w:rsidRPr="00A071EB" w:rsidRDefault="006356AE" w:rsidP="006356AE">
            <w:pPr>
              <w:jc w:val="right"/>
              <w:rPr>
                <w:rFonts w:ascii="Arial" w:hAnsi="Arial"/>
                <w:color w:val="000000"/>
                <w:sz w:val="18"/>
                <w:szCs w:val="18"/>
              </w:rPr>
            </w:pPr>
            <w:r w:rsidRPr="00A071EB">
              <w:rPr>
                <w:rFonts w:ascii="Arial" w:hAnsi="Arial"/>
                <w:color w:val="000000"/>
                <w:sz w:val="18"/>
                <w:szCs w:val="18"/>
              </w:rPr>
              <w:t>10</w:t>
            </w:r>
          </w:p>
        </w:tc>
        <w:tc>
          <w:tcPr>
            <w:tcW w:w="1278" w:type="dxa"/>
            <w:tcBorders>
              <w:top w:val="nil"/>
              <w:left w:val="nil"/>
              <w:bottom w:val="single" w:sz="4" w:space="0" w:color="auto"/>
              <w:right w:val="single" w:sz="4" w:space="0" w:color="auto"/>
            </w:tcBorders>
            <w:shd w:val="clear" w:color="auto" w:fill="auto"/>
            <w:noWrap/>
            <w:hideMark/>
          </w:tcPr>
          <w:p w14:paraId="494E4427" w14:textId="5261E45F" w:rsidR="006356AE" w:rsidRPr="00A071EB" w:rsidRDefault="006356AE" w:rsidP="006356AE">
            <w:pPr>
              <w:rPr>
                <w:rFonts w:ascii="Arial" w:hAnsi="Arial"/>
                <w:sz w:val="18"/>
              </w:rPr>
            </w:pPr>
            <w:r w:rsidRPr="00A071EB">
              <w:rPr>
                <w:rFonts w:ascii="Arial" w:hAnsi="Arial"/>
                <w:sz w:val="18"/>
              </w:rPr>
              <w:t>Estonie</w:t>
            </w:r>
          </w:p>
        </w:tc>
        <w:tc>
          <w:tcPr>
            <w:tcW w:w="1138" w:type="dxa"/>
            <w:tcBorders>
              <w:top w:val="nil"/>
              <w:left w:val="nil"/>
              <w:bottom w:val="single" w:sz="4" w:space="0" w:color="auto"/>
              <w:right w:val="single" w:sz="4" w:space="0" w:color="auto"/>
            </w:tcBorders>
            <w:shd w:val="clear" w:color="auto" w:fill="auto"/>
            <w:noWrap/>
            <w:vAlign w:val="bottom"/>
            <w:hideMark/>
          </w:tcPr>
          <w:p w14:paraId="5A9967F4" w14:textId="2684D89C" w:rsidR="006356AE" w:rsidRPr="00A071EB" w:rsidRDefault="006356AE" w:rsidP="006356AE">
            <w:pPr>
              <w:jc w:val="center"/>
              <w:rPr>
                <w:rFonts w:ascii="Arial" w:hAnsi="Arial"/>
                <w:b/>
                <w:color w:val="000000"/>
                <w:sz w:val="18"/>
                <w:szCs w:val="18"/>
              </w:rPr>
            </w:pPr>
            <w:r w:rsidRPr="00A071EB">
              <w:rPr>
                <w:rFonts w:ascii="Arial" w:hAnsi="Arial"/>
                <w:color w:val="000000"/>
                <w:sz w:val="18"/>
                <w:szCs w:val="22"/>
              </w:rPr>
              <w:t>2,0</w:t>
            </w:r>
          </w:p>
        </w:tc>
        <w:tc>
          <w:tcPr>
            <w:tcW w:w="1224" w:type="dxa"/>
            <w:tcBorders>
              <w:top w:val="nil"/>
              <w:left w:val="nil"/>
              <w:bottom w:val="single" w:sz="4" w:space="0" w:color="auto"/>
              <w:right w:val="single" w:sz="4" w:space="0" w:color="auto"/>
            </w:tcBorders>
            <w:shd w:val="clear" w:color="auto" w:fill="auto"/>
            <w:noWrap/>
            <w:vAlign w:val="bottom"/>
            <w:hideMark/>
          </w:tcPr>
          <w:p w14:paraId="4A35E909" w14:textId="73E50249" w:rsidR="006356AE" w:rsidRPr="00A071EB" w:rsidRDefault="006356AE" w:rsidP="006356AE">
            <w:pPr>
              <w:jc w:val="center"/>
              <w:rPr>
                <w:rFonts w:ascii="Arial" w:hAnsi="Arial"/>
                <w:b/>
                <w:color w:val="000000"/>
                <w:sz w:val="18"/>
                <w:szCs w:val="18"/>
              </w:rPr>
            </w:pPr>
            <w:r w:rsidRPr="00A071EB">
              <w:rPr>
                <w:rFonts w:ascii="Arial" w:hAnsi="Arial"/>
                <w:color w:val="000000"/>
                <w:sz w:val="18"/>
                <w:szCs w:val="22"/>
              </w:rPr>
              <w:t>1,9%</w:t>
            </w:r>
          </w:p>
        </w:tc>
      </w:tr>
    </w:tbl>
    <w:p w14:paraId="7443EEE9" w14:textId="2323A9C0" w:rsidR="00756837" w:rsidRPr="00E91D36" w:rsidRDefault="00756837" w:rsidP="00756837">
      <w:pPr>
        <w:pStyle w:val="Dtailarticles"/>
        <w:spacing w:after="240"/>
        <w:rPr>
          <w:rFonts w:ascii="Times New Roman" w:hAnsi="Times New Roman"/>
          <w:b/>
          <w:sz w:val="22"/>
        </w:rPr>
      </w:pPr>
      <w:r w:rsidRPr="00936607">
        <w:rPr>
          <w:rFonts w:ascii="Times New Roman" w:hAnsi="Times New Roman"/>
          <w:b/>
          <w:sz w:val="22"/>
        </w:rPr>
        <w:t>Pays i</w:t>
      </w:r>
      <w:r>
        <w:rPr>
          <w:rFonts w:ascii="Times New Roman" w:hAnsi="Times New Roman"/>
          <w:b/>
          <w:sz w:val="22"/>
        </w:rPr>
        <w:t xml:space="preserve">nvestisseurs en Finlande en 2016               </w:t>
      </w:r>
      <w:r w:rsidRPr="00936607">
        <w:rPr>
          <w:rFonts w:ascii="Times New Roman" w:hAnsi="Times New Roman"/>
          <w:b/>
          <w:sz w:val="22"/>
        </w:rPr>
        <w:tab/>
        <w:t xml:space="preserve">        </w:t>
      </w:r>
      <w:r>
        <w:rPr>
          <w:rFonts w:ascii="Times New Roman" w:hAnsi="Times New Roman"/>
          <w:b/>
          <w:sz w:val="22"/>
        </w:rPr>
        <w:t xml:space="preserve">       </w:t>
      </w:r>
      <w:r w:rsidRPr="00936607">
        <w:rPr>
          <w:rFonts w:ascii="Times New Roman" w:hAnsi="Times New Roman"/>
          <w:b/>
          <w:sz w:val="22"/>
        </w:rPr>
        <w:t xml:space="preserve"> Pays destinataires des ID finlandais</w:t>
      </w:r>
      <w:r>
        <w:rPr>
          <w:rFonts w:ascii="Times New Roman" w:hAnsi="Times New Roman"/>
          <w:b/>
          <w:sz w:val="22"/>
        </w:rPr>
        <w:t xml:space="preserve"> en 2016</w:t>
      </w:r>
    </w:p>
    <w:tbl>
      <w:tblPr>
        <w:tblW w:w="4359" w:type="dxa"/>
        <w:tblCellMar>
          <w:left w:w="70" w:type="dxa"/>
          <w:right w:w="70" w:type="dxa"/>
        </w:tblCellMar>
        <w:tblLook w:val="04A0" w:firstRow="1" w:lastRow="0" w:firstColumn="1" w:lastColumn="0" w:noHBand="0" w:noVBand="1"/>
      </w:tblPr>
      <w:tblGrid>
        <w:gridCol w:w="612"/>
        <w:gridCol w:w="1282"/>
        <w:gridCol w:w="1347"/>
        <w:gridCol w:w="1118"/>
      </w:tblGrid>
      <w:tr w:rsidR="00756837" w:rsidRPr="00813054" w14:paraId="7649AC84" w14:textId="77777777" w:rsidTr="00756837">
        <w:trPr>
          <w:trHeight w:val="245"/>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143EC" w14:textId="77777777" w:rsidR="00756837" w:rsidRPr="006356AE" w:rsidRDefault="00756837" w:rsidP="00945618">
            <w:pPr>
              <w:jc w:val="center"/>
              <w:rPr>
                <w:rFonts w:ascii="Arial" w:hAnsi="Arial"/>
                <w:b/>
                <w:color w:val="000000"/>
                <w:sz w:val="18"/>
                <w:szCs w:val="18"/>
              </w:rPr>
            </w:pPr>
            <w:r w:rsidRPr="006356AE">
              <w:rPr>
                <w:rFonts w:ascii="Arial" w:hAnsi="Arial"/>
                <w:b/>
                <w:color w:val="000000"/>
                <w:sz w:val="18"/>
                <w:szCs w:val="18"/>
              </w:rPr>
              <w:t>Rang</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14:paraId="1607A880" w14:textId="77777777" w:rsidR="00756837" w:rsidRPr="006356AE" w:rsidRDefault="00756837" w:rsidP="00945618">
            <w:pPr>
              <w:jc w:val="center"/>
              <w:rPr>
                <w:rFonts w:ascii="Arial" w:hAnsi="Arial"/>
                <w:b/>
                <w:color w:val="000000"/>
                <w:sz w:val="18"/>
                <w:szCs w:val="18"/>
              </w:rPr>
            </w:pPr>
            <w:r w:rsidRPr="006356AE">
              <w:rPr>
                <w:rFonts w:ascii="Arial" w:hAnsi="Arial"/>
                <w:b/>
                <w:color w:val="000000"/>
                <w:sz w:val="18"/>
                <w:szCs w:val="18"/>
              </w:rPr>
              <w:t>Pays</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3ED80267" w14:textId="77777777" w:rsidR="00756837" w:rsidRPr="006356AE" w:rsidRDefault="00756837" w:rsidP="00945618">
            <w:pPr>
              <w:jc w:val="center"/>
              <w:rPr>
                <w:rFonts w:ascii="Arial" w:hAnsi="Arial"/>
                <w:b/>
                <w:color w:val="000000"/>
                <w:sz w:val="18"/>
                <w:szCs w:val="18"/>
              </w:rPr>
            </w:pPr>
            <w:r w:rsidRPr="006356AE">
              <w:rPr>
                <w:rFonts w:ascii="Arial" w:hAnsi="Arial"/>
                <w:b/>
                <w:color w:val="000000"/>
                <w:sz w:val="18"/>
                <w:szCs w:val="18"/>
              </w:rPr>
              <w:t>Montants en Mds €</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7FE10354" w14:textId="77777777" w:rsidR="00756837" w:rsidRPr="006356AE" w:rsidRDefault="00756837" w:rsidP="00945618">
            <w:pPr>
              <w:jc w:val="center"/>
              <w:rPr>
                <w:rFonts w:ascii="Arial" w:hAnsi="Arial"/>
                <w:b/>
                <w:color w:val="000000"/>
                <w:sz w:val="18"/>
                <w:szCs w:val="18"/>
              </w:rPr>
            </w:pPr>
            <w:r w:rsidRPr="006356AE">
              <w:rPr>
                <w:rFonts w:ascii="Arial" w:hAnsi="Arial"/>
                <w:b/>
                <w:color w:val="000000"/>
                <w:sz w:val="18"/>
                <w:szCs w:val="18"/>
              </w:rPr>
              <w:t>Part dans le total</w:t>
            </w:r>
            <w:r w:rsidRPr="006356AE">
              <w:rPr>
                <w:rFonts w:ascii="Arial" w:hAnsi="Arial"/>
                <w:b/>
                <w:vanish/>
                <w:sz w:val="18"/>
                <w:szCs w:val="18"/>
              </w:rPr>
              <w:t>Haut du formulaire</w:t>
            </w:r>
          </w:p>
        </w:tc>
      </w:tr>
      <w:tr w:rsidR="006356AE" w:rsidRPr="00620F15" w14:paraId="49C3A128" w14:textId="77777777" w:rsidTr="006030C5">
        <w:trPr>
          <w:trHeight w:val="245"/>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036C3FAA" w14:textId="2B072B1B" w:rsidR="006356AE" w:rsidRPr="006356AE" w:rsidRDefault="006356AE" w:rsidP="006356AE">
            <w:pPr>
              <w:jc w:val="right"/>
              <w:rPr>
                <w:rFonts w:ascii="Arial" w:hAnsi="Arial"/>
                <w:color w:val="000000"/>
                <w:sz w:val="18"/>
                <w:szCs w:val="18"/>
              </w:rPr>
            </w:pPr>
            <w:r w:rsidRPr="006356AE">
              <w:rPr>
                <w:rFonts w:ascii="Arial" w:hAnsi="Arial"/>
                <w:color w:val="000000"/>
                <w:sz w:val="18"/>
                <w:szCs w:val="18"/>
              </w:rPr>
              <w:t>1</w:t>
            </w:r>
          </w:p>
        </w:tc>
        <w:tc>
          <w:tcPr>
            <w:tcW w:w="1282" w:type="dxa"/>
            <w:tcBorders>
              <w:top w:val="nil"/>
              <w:left w:val="nil"/>
              <w:bottom w:val="single" w:sz="4" w:space="0" w:color="auto"/>
              <w:right w:val="single" w:sz="4" w:space="0" w:color="auto"/>
            </w:tcBorders>
            <w:shd w:val="clear" w:color="auto" w:fill="auto"/>
            <w:noWrap/>
            <w:hideMark/>
          </w:tcPr>
          <w:p w14:paraId="6AD30C09" w14:textId="470C60C2" w:rsidR="006356AE" w:rsidRPr="006356AE" w:rsidRDefault="006356AE" w:rsidP="006356AE">
            <w:pPr>
              <w:rPr>
                <w:rFonts w:ascii="Arial" w:hAnsi="Arial"/>
                <w:color w:val="000000"/>
                <w:sz w:val="18"/>
                <w:szCs w:val="18"/>
              </w:rPr>
            </w:pPr>
            <w:r w:rsidRPr="006356AE">
              <w:rPr>
                <w:rFonts w:ascii="Arial" w:hAnsi="Arial"/>
                <w:sz w:val="18"/>
              </w:rPr>
              <w:t>Suède</w:t>
            </w:r>
          </w:p>
        </w:tc>
        <w:tc>
          <w:tcPr>
            <w:tcW w:w="1347" w:type="dxa"/>
            <w:tcBorders>
              <w:top w:val="nil"/>
              <w:left w:val="nil"/>
              <w:bottom w:val="single" w:sz="4" w:space="0" w:color="auto"/>
              <w:right w:val="single" w:sz="4" w:space="0" w:color="auto"/>
            </w:tcBorders>
            <w:shd w:val="clear" w:color="auto" w:fill="auto"/>
            <w:hideMark/>
          </w:tcPr>
          <w:p w14:paraId="3D81A6B6" w14:textId="37F02B2A" w:rsidR="006356AE" w:rsidRPr="006356AE" w:rsidRDefault="006356AE" w:rsidP="006356AE">
            <w:pPr>
              <w:jc w:val="center"/>
              <w:rPr>
                <w:rFonts w:ascii="Arial" w:hAnsi="Arial"/>
                <w:color w:val="000000"/>
                <w:sz w:val="18"/>
                <w:szCs w:val="18"/>
              </w:rPr>
            </w:pPr>
            <w:r w:rsidRPr="006A1861">
              <w:t>35,3</w:t>
            </w:r>
          </w:p>
        </w:tc>
        <w:tc>
          <w:tcPr>
            <w:tcW w:w="1118" w:type="dxa"/>
            <w:tcBorders>
              <w:top w:val="nil"/>
              <w:left w:val="nil"/>
              <w:bottom w:val="single" w:sz="4" w:space="0" w:color="auto"/>
              <w:right w:val="single" w:sz="4" w:space="0" w:color="auto"/>
            </w:tcBorders>
            <w:shd w:val="clear" w:color="auto" w:fill="auto"/>
            <w:noWrap/>
            <w:vAlign w:val="bottom"/>
            <w:hideMark/>
          </w:tcPr>
          <w:p w14:paraId="31E56E42" w14:textId="5BC18B3B" w:rsidR="006356AE" w:rsidRPr="006356AE" w:rsidRDefault="006356AE" w:rsidP="006356AE">
            <w:pPr>
              <w:jc w:val="center"/>
              <w:rPr>
                <w:rFonts w:ascii="Arial" w:hAnsi="Arial"/>
                <w:color w:val="000000"/>
                <w:szCs w:val="18"/>
              </w:rPr>
            </w:pPr>
            <w:r w:rsidRPr="006356AE">
              <w:rPr>
                <w:rFonts w:ascii="Arial" w:hAnsi="Arial"/>
                <w:color w:val="000000"/>
                <w:szCs w:val="22"/>
              </w:rPr>
              <w:t>46,1%</w:t>
            </w:r>
          </w:p>
        </w:tc>
      </w:tr>
      <w:tr w:rsidR="006356AE" w:rsidRPr="00813054" w14:paraId="3D2DD5F1" w14:textId="77777777" w:rsidTr="006030C5">
        <w:trPr>
          <w:trHeight w:val="245"/>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710A6ACC" w14:textId="3D82BE0B" w:rsidR="006356AE" w:rsidRPr="006356AE" w:rsidRDefault="006356AE" w:rsidP="006356AE">
            <w:pPr>
              <w:jc w:val="right"/>
              <w:rPr>
                <w:rFonts w:ascii="Arial" w:hAnsi="Arial"/>
                <w:color w:val="000000"/>
                <w:sz w:val="18"/>
                <w:szCs w:val="18"/>
              </w:rPr>
            </w:pPr>
            <w:r w:rsidRPr="006356AE">
              <w:rPr>
                <w:rFonts w:ascii="Arial" w:hAnsi="Arial"/>
                <w:color w:val="000000"/>
                <w:sz w:val="18"/>
                <w:szCs w:val="18"/>
              </w:rPr>
              <w:t>2</w:t>
            </w:r>
          </w:p>
        </w:tc>
        <w:tc>
          <w:tcPr>
            <w:tcW w:w="1282" w:type="dxa"/>
            <w:tcBorders>
              <w:top w:val="nil"/>
              <w:left w:val="nil"/>
              <w:bottom w:val="single" w:sz="4" w:space="0" w:color="auto"/>
              <w:right w:val="single" w:sz="4" w:space="0" w:color="auto"/>
            </w:tcBorders>
            <w:shd w:val="clear" w:color="auto" w:fill="auto"/>
            <w:noWrap/>
            <w:hideMark/>
          </w:tcPr>
          <w:p w14:paraId="37B00A32" w14:textId="405475AE" w:rsidR="006356AE" w:rsidRPr="006356AE" w:rsidRDefault="006356AE" w:rsidP="006356AE">
            <w:pPr>
              <w:rPr>
                <w:rFonts w:ascii="Arial" w:hAnsi="Arial"/>
                <w:color w:val="000000"/>
                <w:sz w:val="18"/>
                <w:szCs w:val="18"/>
              </w:rPr>
            </w:pPr>
            <w:r w:rsidRPr="006356AE">
              <w:rPr>
                <w:rFonts w:ascii="Arial" w:hAnsi="Arial"/>
                <w:sz w:val="18"/>
              </w:rPr>
              <w:t>Pays-Bas</w:t>
            </w:r>
          </w:p>
        </w:tc>
        <w:tc>
          <w:tcPr>
            <w:tcW w:w="1347" w:type="dxa"/>
            <w:tcBorders>
              <w:top w:val="nil"/>
              <w:left w:val="nil"/>
              <w:bottom w:val="single" w:sz="4" w:space="0" w:color="auto"/>
              <w:right w:val="single" w:sz="4" w:space="0" w:color="auto"/>
            </w:tcBorders>
            <w:shd w:val="clear" w:color="auto" w:fill="auto"/>
            <w:hideMark/>
          </w:tcPr>
          <w:p w14:paraId="77840431" w14:textId="15FF6559" w:rsidR="006356AE" w:rsidRPr="006356AE" w:rsidRDefault="006356AE" w:rsidP="006356AE">
            <w:pPr>
              <w:jc w:val="center"/>
              <w:rPr>
                <w:rFonts w:ascii="Arial" w:hAnsi="Arial"/>
                <w:color w:val="000000"/>
                <w:sz w:val="18"/>
                <w:szCs w:val="18"/>
              </w:rPr>
            </w:pPr>
            <w:r w:rsidRPr="006A1861">
              <w:t>11,9</w:t>
            </w:r>
          </w:p>
        </w:tc>
        <w:tc>
          <w:tcPr>
            <w:tcW w:w="1118" w:type="dxa"/>
            <w:tcBorders>
              <w:top w:val="nil"/>
              <w:left w:val="nil"/>
              <w:bottom w:val="single" w:sz="4" w:space="0" w:color="auto"/>
              <w:right w:val="single" w:sz="4" w:space="0" w:color="auto"/>
            </w:tcBorders>
            <w:shd w:val="clear" w:color="auto" w:fill="auto"/>
            <w:noWrap/>
            <w:vAlign w:val="bottom"/>
            <w:hideMark/>
          </w:tcPr>
          <w:p w14:paraId="1EA1B873" w14:textId="0B2FA2BC" w:rsidR="006356AE" w:rsidRPr="006356AE" w:rsidRDefault="006356AE" w:rsidP="006356AE">
            <w:pPr>
              <w:jc w:val="center"/>
              <w:rPr>
                <w:rFonts w:ascii="Arial" w:hAnsi="Arial"/>
                <w:color w:val="000000"/>
                <w:szCs w:val="18"/>
              </w:rPr>
            </w:pPr>
            <w:r w:rsidRPr="006356AE">
              <w:rPr>
                <w:rFonts w:ascii="Arial" w:hAnsi="Arial"/>
                <w:color w:val="000000"/>
                <w:szCs w:val="22"/>
              </w:rPr>
              <w:t>15,6%</w:t>
            </w:r>
          </w:p>
        </w:tc>
      </w:tr>
      <w:tr w:rsidR="006356AE" w:rsidRPr="00813054" w14:paraId="7C8A61D7" w14:textId="77777777" w:rsidTr="006030C5">
        <w:trPr>
          <w:trHeight w:val="245"/>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227540F0" w14:textId="224D512B" w:rsidR="006356AE" w:rsidRPr="006356AE" w:rsidRDefault="006356AE" w:rsidP="006356AE">
            <w:pPr>
              <w:jc w:val="right"/>
              <w:rPr>
                <w:rFonts w:ascii="Arial" w:hAnsi="Arial"/>
                <w:color w:val="000000"/>
                <w:sz w:val="18"/>
                <w:szCs w:val="18"/>
              </w:rPr>
            </w:pPr>
            <w:r w:rsidRPr="006356AE">
              <w:rPr>
                <w:rFonts w:ascii="Arial" w:hAnsi="Arial"/>
                <w:color w:val="000000"/>
                <w:sz w:val="18"/>
                <w:szCs w:val="18"/>
              </w:rPr>
              <w:t>3</w:t>
            </w:r>
          </w:p>
        </w:tc>
        <w:tc>
          <w:tcPr>
            <w:tcW w:w="1282" w:type="dxa"/>
            <w:tcBorders>
              <w:top w:val="nil"/>
              <w:left w:val="nil"/>
              <w:bottom w:val="single" w:sz="4" w:space="0" w:color="auto"/>
              <w:right w:val="single" w:sz="4" w:space="0" w:color="auto"/>
            </w:tcBorders>
            <w:shd w:val="clear" w:color="auto" w:fill="auto"/>
            <w:noWrap/>
            <w:hideMark/>
          </w:tcPr>
          <w:p w14:paraId="07490E7C" w14:textId="684DEC2B" w:rsidR="006356AE" w:rsidRPr="006356AE" w:rsidRDefault="006356AE" w:rsidP="006356AE">
            <w:pPr>
              <w:rPr>
                <w:rFonts w:ascii="Arial" w:hAnsi="Arial"/>
                <w:color w:val="000000"/>
                <w:sz w:val="18"/>
                <w:szCs w:val="18"/>
              </w:rPr>
            </w:pPr>
            <w:r w:rsidRPr="006356AE">
              <w:rPr>
                <w:rFonts w:ascii="Arial" w:hAnsi="Arial"/>
                <w:sz w:val="18"/>
              </w:rPr>
              <w:t>Luxembourg</w:t>
            </w:r>
          </w:p>
        </w:tc>
        <w:tc>
          <w:tcPr>
            <w:tcW w:w="1347" w:type="dxa"/>
            <w:tcBorders>
              <w:top w:val="nil"/>
              <w:left w:val="nil"/>
              <w:bottom w:val="single" w:sz="4" w:space="0" w:color="auto"/>
              <w:right w:val="single" w:sz="4" w:space="0" w:color="auto"/>
            </w:tcBorders>
            <w:shd w:val="clear" w:color="auto" w:fill="auto"/>
            <w:hideMark/>
          </w:tcPr>
          <w:p w14:paraId="18BD4F9D" w14:textId="7F64A4FD" w:rsidR="006356AE" w:rsidRPr="006356AE" w:rsidRDefault="006356AE" w:rsidP="006356AE">
            <w:pPr>
              <w:jc w:val="center"/>
              <w:rPr>
                <w:rFonts w:ascii="Arial" w:hAnsi="Arial"/>
                <w:color w:val="000000"/>
                <w:sz w:val="18"/>
                <w:szCs w:val="18"/>
              </w:rPr>
            </w:pPr>
            <w:r w:rsidRPr="006A1861">
              <w:t>7,9</w:t>
            </w:r>
          </w:p>
        </w:tc>
        <w:tc>
          <w:tcPr>
            <w:tcW w:w="1118" w:type="dxa"/>
            <w:tcBorders>
              <w:top w:val="nil"/>
              <w:left w:val="nil"/>
              <w:bottom w:val="single" w:sz="4" w:space="0" w:color="auto"/>
              <w:right w:val="single" w:sz="4" w:space="0" w:color="auto"/>
            </w:tcBorders>
            <w:shd w:val="clear" w:color="auto" w:fill="auto"/>
            <w:noWrap/>
            <w:vAlign w:val="bottom"/>
            <w:hideMark/>
          </w:tcPr>
          <w:p w14:paraId="31A40617" w14:textId="57E25E6D" w:rsidR="006356AE" w:rsidRPr="006356AE" w:rsidRDefault="006356AE" w:rsidP="006356AE">
            <w:pPr>
              <w:jc w:val="center"/>
              <w:rPr>
                <w:rFonts w:ascii="Arial" w:hAnsi="Arial"/>
                <w:color w:val="000000"/>
                <w:szCs w:val="18"/>
              </w:rPr>
            </w:pPr>
            <w:r w:rsidRPr="006356AE">
              <w:rPr>
                <w:rFonts w:ascii="Arial" w:hAnsi="Arial"/>
                <w:color w:val="000000"/>
                <w:szCs w:val="22"/>
              </w:rPr>
              <w:t>10,3%</w:t>
            </w:r>
          </w:p>
        </w:tc>
      </w:tr>
      <w:tr w:rsidR="006356AE" w:rsidRPr="00813054" w14:paraId="34C1385E" w14:textId="77777777" w:rsidTr="006030C5">
        <w:trPr>
          <w:trHeight w:val="245"/>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63D86BDD" w14:textId="5A285219" w:rsidR="006356AE" w:rsidRPr="006356AE" w:rsidRDefault="006356AE" w:rsidP="006356AE">
            <w:pPr>
              <w:jc w:val="right"/>
              <w:rPr>
                <w:rFonts w:ascii="Arial" w:hAnsi="Arial"/>
                <w:color w:val="000000"/>
                <w:sz w:val="18"/>
                <w:szCs w:val="18"/>
              </w:rPr>
            </w:pPr>
            <w:r w:rsidRPr="006356AE">
              <w:rPr>
                <w:rFonts w:ascii="Arial" w:hAnsi="Arial"/>
                <w:color w:val="000000"/>
                <w:sz w:val="18"/>
                <w:szCs w:val="18"/>
              </w:rPr>
              <w:t>4</w:t>
            </w:r>
          </w:p>
        </w:tc>
        <w:tc>
          <w:tcPr>
            <w:tcW w:w="1282" w:type="dxa"/>
            <w:tcBorders>
              <w:top w:val="nil"/>
              <w:left w:val="nil"/>
              <w:bottom w:val="single" w:sz="4" w:space="0" w:color="auto"/>
              <w:right w:val="single" w:sz="4" w:space="0" w:color="auto"/>
            </w:tcBorders>
            <w:shd w:val="clear" w:color="auto" w:fill="auto"/>
            <w:noWrap/>
            <w:hideMark/>
          </w:tcPr>
          <w:p w14:paraId="00AEF9BF" w14:textId="4FAA1729" w:rsidR="006356AE" w:rsidRPr="006356AE" w:rsidRDefault="006356AE" w:rsidP="006356AE">
            <w:pPr>
              <w:rPr>
                <w:rFonts w:ascii="Arial" w:hAnsi="Arial"/>
                <w:color w:val="000000"/>
                <w:sz w:val="18"/>
                <w:szCs w:val="18"/>
              </w:rPr>
            </w:pPr>
            <w:r w:rsidRPr="006356AE">
              <w:rPr>
                <w:rFonts w:ascii="Arial" w:hAnsi="Arial"/>
                <w:sz w:val="18"/>
              </w:rPr>
              <w:t>Danemark</w:t>
            </w:r>
          </w:p>
        </w:tc>
        <w:tc>
          <w:tcPr>
            <w:tcW w:w="1347" w:type="dxa"/>
            <w:tcBorders>
              <w:top w:val="nil"/>
              <w:left w:val="nil"/>
              <w:bottom w:val="single" w:sz="4" w:space="0" w:color="auto"/>
              <w:right w:val="single" w:sz="4" w:space="0" w:color="auto"/>
            </w:tcBorders>
            <w:shd w:val="clear" w:color="auto" w:fill="auto"/>
            <w:noWrap/>
            <w:hideMark/>
          </w:tcPr>
          <w:p w14:paraId="53AFBC8C" w14:textId="390C16BB" w:rsidR="006356AE" w:rsidRPr="006356AE" w:rsidRDefault="006356AE" w:rsidP="006356AE">
            <w:pPr>
              <w:jc w:val="center"/>
              <w:rPr>
                <w:rFonts w:ascii="Arial" w:hAnsi="Arial"/>
                <w:color w:val="000000"/>
                <w:sz w:val="18"/>
                <w:szCs w:val="18"/>
              </w:rPr>
            </w:pPr>
            <w:r w:rsidRPr="006A1861">
              <w:t>5,4</w:t>
            </w:r>
          </w:p>
        </w:tc>
        <w:tc>
          <w:tcPr>
            <w:tcW w:w="1118" w:type="dxa"/>
            <w:tcBorders>
              <w:top w:val="nil"/>
              <w:left w:val="nil"/>
              <w:bottom w:val="single" w:sz="4" w:space="0" w:color="auto"/>
              <w:right w:val="single" w:sz="4" w:space="0" w:color="auto"/>
            </w:tcBorders>
            <w:shd w:val="clear" w:color="auto" w:fill="auto"/>
            <w:noWrap/>
            <w:vAlign w:val="bottom"/>
            <w:hideMark/>
          </w:tcPr>
          <w:p w14:paraId="17E12E7D" w14:textId="6F242EE7" w:rsidR="006356AE" w:rsidRPr="006356AE" w:rsidRDefault="006356AE" w:rsidP="006356AE">
            <w:pPr>
              <w:jc w:val="center"/>
              <w:rPr>
                <w:rFonts w:ascii="Arial" w:hAnsi="Arial"/>
                <w:color w:val="000000"/>
                <w:szCs w:val="18"/>
              </w:rPr>
            </w:pPr>
            <w:r w:rsidRPr="006356AE">
              <w:rPr>
                <w:rFonts w:ascii="Arial" w:hAnsi="Arial"/>
                <w:color w:val="000000"/>
                <w:szCs w:val="22"/>
              </w:rPr>
              <w:t>7,1%</w:t>
            </w:r>
          </w:p>
        </w:tc>
      </w:tr>
      <w:tr w:rsidR="006356AE" w:rsidRPr="00813054" w14:paraId="36AE2CB9" w14:textId="77777777" w:rsidTr="006030C5">
        <w:trPr>
          <w:trHeight w:val="245"/>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739C4882" w14:textId="292442D2" w:rsidR="006356AE" w:rsidRPr="006356AE" w:rsidRDefault="006356AE" w:rsidP="006356AE">
            <w:pPr>
              <w:jc w:val="right"/>
              <w:rPr>
                <w:rFonts w:ascii="Arial" w:hAnsi="Arial"/>
                <w:color w:val="000000"/>
                <w:sz w:val="18"/>
                <w:szCs w:val="18"/>
              </w:rPr>
            </w:pPr>
            <w:r w:rsidRPr="006356AE">
              <w:rPr>
                <w:rFonts w:ascii="Arial" w:hAnsi="Arial"/>
                <w:color w:val="000000"/>
                <w:sz w:val="18"/>
                <w:szCs w:val="18"/>
              </w:rPr>
              <w:t>5</w:t>
            </w:r>
          </w:p>
        </w:tc>
        <w:tc>
          <w:tcPr>
            <w:tcW w:w="1282" w:type="dxa"/>
            <w:tcBorders>
              <w:top w:val="nil"/>
              <w:left w:val="nil"/>
              <w:bottom w:val="single" w:sz="4" w:space="0" w:color="auto"/>
              <w:right w:val="single" w:sz="4" w:space="0" w:color="auto"/>
            </w:tcBorders>
            <w:shd w:val="clear" w:color="auto" w:fill="auto"/>
            <w:noWrap/>
            <w:hideMark/>
          </w:tcPr>
          <w:p w14:paraId="4D96A5AD" w14:textId="0D021F2F" w:rsidR="006356AE" w:rsidRPr="006356AE" w:rsidRDefault="006356AE" w:rsidP="006356AE">
            <w:pPr>
              <w:rPr>
                <w:rFonts w:ascii="Arial" w:hAnsi="Arial"/>
                <w:color w:val="000000"/>
                <w:sz w:val="18"/>
                <w:szCs w:val="18"/>
              </w:rPr>
            </w:pPr>
            <w:r w:rsidRPr="006356AE">
              <w:rPr>
                <w:rFonts w:ascii="Arial" w:hAnsi="Arial"/>
                <w:sz w:val="18"/>
              </w:rPr>
              <w:t>Allemagne</w:t>
            </w:r>
          </w:p>
        </w:tc>
        <w:tc>
          <w:tcPr>
            <w:tcW w:w="1347" w:type="dxa"/>
            <w:tcBorders>
              <w:top w:val="nil"/>
              <w:left w:val="nil"/>
              <w:bottom w:val="single" w:sz="4" w:space="0" w:color="auto"/>
              <w:right w:val="single" w:sz="4" w:space="0" w:color="auto"/>
            </w:tcBorders>
            <w:shd w:val="clear" w:color="auto" w:fill="auto"/>
            <w:noWrap/>
            <w:hideMark/>
          </w:tcPr>
          <w:p w14:paraId="275EC0D4" w14:textId="28CABE45" w:rsidR="006356AE" w:rsidRPr="006356AE" w:rsidRDefault="006356AE" w:rsidP="006356AE">
            <w:pPr>
              <w:jc w:val="center"/>
              <w:rPr>
                <w:rFonts w:ascii="Arial" w:hAnsi="Arial"/>
                <w:color w:val="000000"/>
                <w:sz w:val="18"/>
                <w:szCs w:val="18"/>
              </w:rPr>
            </w:pPr>
            <w:r w:rsidRPr="006A1861">
              <w:t>3,3</w:t>
            </w:r>
          </w:p>
        </w:tc>
        <w:tc>
          <w:tcPr>
            <w:tcW w:w="1118" w:type="dxa"/>
            <w:tcBorders>
              <w:top w:val="nil"/>
              <w:left w:val="nil"/>
              <w:bottom w:val="single" w:sz="4" w:space="0" w:color="auto"/>
              <w:right w:val="single" w:sz="4" w:space="0" w:color="auto"/>
            </w:tcBorders>
            <w:shd w:val="clear" w:color="auto" w:fill="auto"/>
            <w:noWrap/>
            <w:vAlign w:val="bottom"/>
            <w:hideMark/>
          </w:tcPr>
          <w:p w14:paraId="79185CD4" w14:textId="3E99B0E6" w:rsidR="006356AE" w:rsidRPr="006356AE" w:rsidRDefault="006356AE" w:rsidP="006356AE">
            <w:pPr>
              <w:jc w:val="center"/>
              <w:rPr>
                <w:rFonts w:ascii="Arial" w:hAnsi="Arial"/>
                <w:color w:val="000000"/>
                <w:szCs w:val="18"/>
              </w:rPr>
            </w:pPr>
            <w:r w:rsidRPr="006356AE">
              <w:rPr>
                <w:rFonts w:ascii="Arial" w:hAnsi="Arial"/>
                <w:color w:val="000000"/>
                <w:szCs w:val="22"/>
              </w:rPr>
              <w:t>4,3%</w:t>
            </w:r>
          </w:p>
        </w:tc>
      </w:tr>
      <w:tr w:rsidR="006356AE" w:rsidRPr="00813054" w14:paraId="237DCED5" w14:textId="77777777" w:rsidTr="006030C5">
        <w:trPr>
          <w:trHeight w:val="245"/>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52F68AD9" w14:textId="11993BD9" w:rsidR="006356AE" w:rsidRPr="006356AE" w:rsidRDefault="006356AE" w:rsidP="006356AE">
            <w:pPr>
              <w:jc w:val="right"/>
              <w:rPr>
                <w:rFonts w:ascii="Arial" w:hAnsi="Arial"/>
                <w:color w:val="000000"/>
                <w:sz w:val="18"/>
                <w:szCs w:val="18"/>
              </w:rPr>
            </w:pPr>
            <w:r w:rsidRPr="006356AE">
              <w:rPr>
                <w:rFonts w:ascii="Arial" w:hAnsi="Arial"/>
                <w:color w:val="000000"/>
                <w:sz w:val="18"/>
                <w:szCs w:val="18"/>
              </w:rPr>
              <w:t>6</w:t>
            </w:r>
          </w:p>
        </w:tc>
        <w:tc>
          <w:tcPr>
            <w:tcW w:w="1282" w:type="dxa"/>
            <w:tcBorders>
              <w:top w:val="nil"/>
              <w:left w:val="nil"/>
              <w:bottom w:val="single" w:sz="4" w:space="0" w:color="auto"/>
              <w:right w:val="single" w:sz="4" w:space="0" w:color="auto"/>
            </w:tcBorders>
            <w:shd w:val="clear" w:color="auto" w:fill="auto"/>
            <w:noWrap/>
            <w:hideMark/>
          </w:tcPr>
          <w:p w14:paraId="57399846" w14:textId="4B3CCB4B" w:rsidR="006356AE" w:rsidRPr="006356AE" w:rsidRDefault="006356AE" w:rsidP="006356AE">
            <w:pPr>
              <w:rPr>
                <w:rFonts w:ascii="Arial" w:hAnsi="Arial"/>
                <w:color w:val="000000"/>
                <w:sz w:val="18"/>
                <w:szCs w:val="18"/>
              </w:rPr>
            </w:pPr>
            <w:r w:rsidRPr="006356AE">
              <w:rPr>
                <w:rFonts w:ascii="Arial" w:hAnsi="Arial"/>
                <w:sz w:val="18"/>
              </w:rPr>
              <w:t>Etats-Unis</w:t>
            </w:r>
          </w:p>
        </w:tc>
        <w:tc>
          <w:tcPr>
            <w:tcW w:w="1347" w:type="dxa"/>
            <w:tcBorders>
              <w:top w:val="nil"/>
              <w:left w:val="nil"/>
              <w:bottom w:val="single" w:sz="4" w:space="0" w:color="auto"/>
              <w:right w:val="single" w:sz="4" w:space="0" w:color="auto"/>
            </w:tcBorders>
            <w:shd w:val="clear" w:color="auto" w:fill="auto"/>
            <w:noWrap/>
            <w:hideMark/>
          </w:tcPr>
          <w:p w14:paraId="57938F6B" w14:textId="5928EB5C" w:rsidR="006356AE" w:rsidRPr="006356AE" w:rsidRDefault="006356AE" w:rsidP="006356AE">
            <w:pPr>
              <w:jc w:val="center"/>
              <w:rPr>
                <w:rFonts w:ascii="Arial" w:hAnsi="Arial"/>
                <w:color w:val="000000"/>
                <w:sz w:val="18"/>
                <w:szCs w:val="18"/>
              </w:rPr>
            </w:pPr>
            <w:r w:rsidRPr="006A1861">
              <w:t>1,3</w:t>
            </w:r>
          </w:p>
        </w:tc>
        <w:tc>
          <w:tcPr>
            <w:tcW w:w="1118" w:type="dxa"/>
            <w:tcBorders>
              <w:top w:val="nil"/>
              <w:left w:val="nil"/>
              <w:bottom w:val="single" w:sz="4" w:space="0" w:color="auto"/>
              <w:right w:val="single" w:sz="4" w:space="0" w:color="auto"/>
            </w:tcBorders>
            <w:shd w:val="clear" w:color="auto" w:fill="auto"/>
            <w:noWrap/>
            <w:vAlign w:val="bottom"/>
            <w:hideMark/>
          </w:tcPr>
          <w:p w14:paraId="52F1DB7B" w14:textId="28A9B533" w:rsidR="006356AE" w:rsidRPr="006356AE" w:rsidRDefault="006356AE" w:rsidP="006356AE">
            <w:pPr>
              <w:jc w:val="center"/>
              <w:rPr>
                <w:rFonts w:ascii="Arial" w:hAnsi="Arial"/>
                <w:color w:val="000000"/>
                <w:szCs w:val="18"/>
              </w:rPr>
            </w:pPr>
            <w:r w:rsidRPr="006356AE">
              <w:rPr>
                <w:rFonts w:ascii="Arial" w:hAnsi="Arial"/>
                <w:color w:val="000000"/>
                <w:szCs w:val="22"/>
              </w:rPr>
              <w:t>1,8%</w:t>
            </w:r>
          </w:p>
        </w:tc>
      </w:tr>
      <w:tr w:rsidR="006356AE" w:rsidRPr="00813054" w14:paraId="57E092E9" w14:textId="77777777" w:rsidTr="006030C5">
        <w:trPr>
          <w:trHeight w:val="245"/>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2C74905B" w14:textId="1480B4ED" w:rsidR="006356AE" w:rsidRPr="006356AE" w:rsidRDefault="006356AE" w:rsidP="006356AE">
            <w:pPr>
              <w:jc w:val="right"/>
              <w:rPr>
                <w:rFonts w:ascii="Arial" w:hAnsi="Arial"/>
                <w:b/>
                <w:color w:val="000000"/>
                <w:sz w:val="18"/>
                <w:szCs w:val="18"/>
              </w:rPr>
            </w:pPr>
            <w:r w:rsidRPr="006356AE">
              <w:rPr>
                <w:rFonts w:ascii="Arial" w:hAnsi="Arial"/>
                <w:b/>
                <w:color w:val="000000"/>
                <w:sz w:val="18"/>
                <w:szCs w:val="18"/>
              </w:rPr>
              <w:t>7</w:t>
            </w:r>
          </w:p>
        </w:tc>
        <w:tc>
          <w:tcPr>
            <w:tcW w:w="1282" w:type="dxa"/>
            <w:tcBorders>
              <w:top w:val="nil"/>
              <w:left w:val="nil"/>
              <w:bottom w:val="single" w:sz="4" w:space="0" w:color="auto"/>
              <w:right w:val="single" w:sz="4" w:space="0" w:color="auto"/>
            </w:tcBorders>
            <w:shd w:val="clear" w:color="auto" w:fill="auto"/>
            <w:noWrap/>
            <w:hideMark/>
          </w:tcPr>
          <w:p w14:paraId="0ED2B7C5" w14:textId="733614BC" w:rsidR="006356AE" w:rsidRPr="006356AE" w:rsidRDefault="006356AE" w:rsidP="006356AE">
            <w:pPr>
              <w:rPr>
                <w:rFonts w:ascii="Arial" w:hAnsi="Arial"/>
                <w:b/>
                <w:color w:val="000000"/>
                <w:sz w:val="18"/>
                <w:szCs w:val="18"/>
              </w:rPr>
            </w:pPr>
            <w:r w:rsidRPr="006356AE">
              <w:rPr>
                <w:rFonts w:ascii="Arial" w:hAnsi="Arial"/>
                <w:b/>
                <w:sz w:val="18"/>
              </w:rPr>
              <w:t>France</w:t>
            </w:r>
          </w:p>
        </w:tc>
        <w:tc>
          <w:tcPr>
            <w:tcW w:w="1347" w:type="dxa"/>
            <w:tcBorders>
              <w:top w:val="nil"/>
              <w:left w:val="nil"/>
              <w:bottom w:val="single" w:sz="4" w:space="0" w:color="auto"/>
              <w:right w:val="single" w:sz="4" w:space="0" w:color="auto"/>
            </w:tcBorders>
            <w:shd w:val="clear" w:color="auto" w:fill="auto"/>
            <w:noWrap/>
            <w:hideMark/>
          </w:tcPr>
          <w:p w14:paraId="44E0C9B2" w14:textId="7610D96D" w:rsidR="006356AE" w:rsidRPr="006356AE" w:rsidRDefault="006356AE" w:rsidP="006356AE">
            <w:pPr>
              <w:jc w:val="center"/>
              <w:rPr>
                <w:rFonts w:ascii="Arial" w:hAnsi="Arial"/>
                <w:b/>
                <w:color w:val="000000"/>
                <w:sz w:val="18"/>
                <w:szCs w:val="18"/>
              </w:rPr>
            </w:pPr>
            <w:r w:rsidRPr="006356AE">
              <w:rPr>
                <w:b/>
              </w:rPr>
              <w:t>1,1</w:t>
            </w:r>
          </w:p>
        </w:tc>
        <w:tc>
          <w:tcPr>
            <w:tcW w:w="1118" w:type="dxa"/>
            <w:tcBorders>
              <w:top w:val="nil"/>
              <w:left w:val="nil"/>
              <w:bottom w:val="single" w:sz="4" w:space="0" w:color="auto"/>
              <w:right w:val="single" w:sz="4" w:space="0" w:color="auto"/>
            </w:tcBorders>
            <w:shd w:val="clear" w:color="auto" w:fill="auto"/>
            <w:noWrap/>
            <w:vAlign w:val="bottom"/>
            <w:hideMark/>
          </w:tcPr>
          <w:p w14:paraId="7EA6964A" w14:textId="0F5A411D" w:rsidR="006356AE" w:rsidRPr="006356AE" w:rsidRDefault="006356AE" w:rsidP="006356AE">
            <w:pPr>
              <w:jc w:val="center"/>
              <w:rPr>
                <w:rFonts w:ascii="Arial" w:hAnsi="Arial"/>
                <w:b/>
                <w:color w:val="000000"/>
                <w:szCs w:val="18"/>
              </w:rPr>
            </w:pPr>
            <w:r w:rsidRPr="006356AE">
              <w:rPr>
                <w:rFonts w:ascii="Arial" w:hAnsi="Arial"/>
                <w:b/>
                <w:color w:val="000000"/>
                <w:szCs w:val="22"/>
              </w:rPr>
              <w:t>1,5%</w:t>
            </w:r>
          </w:p>
        </w:tc>
      </w:tr>
      <w:tr w:rsidR="006356AE" w:rsidRPr="00813054" w14:paraId="6A623CD2" w14:textId="77777777" w:rsidTr="006030C5">
        <w:trPr>
          <w:trHeight w:val="245"/>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5D70E290" w14:textId="12C7A038" w:rsidR="006356AE" w:rsidRPr="006356AE" w:rsidRDefault="006356AE" w:rsidP="006356AE">
            <w:pPr>
              <w:jc w:val="right"/>
              <w:rPr>
                <w:rFonts w:ascii="Arial" w:hAnsi="Arial"/>
                <w:b/>
                <w:color w:val="000000"/>
                <w:sz w:val="18"/>
                <w:szCs w:val="18"/>
              </w:rPr>
            </w:pPr>
            <w:r w:rsidRPr="006356AE">
              <w:rPr>
                <w:rFonts w:ascii="Arial" w:hAnsi="Arial"/>
                <w:b/>
                <w:color w:val="000000"/>
                <w:sz w:val="18"/>
                <w:szCs w:val="18"/>
              </w:rPr>
              <w:t>8</w:t>
            </w:r>
          </w:p>
        </w:tc>
        <w:tc>
          <w:tcPr>
            <w:tcW w:w="1282" w:type="dxa"/>
            <w:tcBorders>
              <w:top w:val="nil"/>
              <w:left w:val="nil"/>
              <w:bottom w:val="single" w:sz="4" w:space="0" w:color="auto"/>
              <w:right w:val="single" w:sz="4" w:space="0" w:color="auto"/>
            </w:tcBorders>
            <w:shd w:val="clear" w:color="auto" w:fill="auto"/>
            <w:noWrap/>
            <w:hideMark/>
          </w:tcPr>
          <w:p w14:paraId="4EB09A0F" w14:textId="61DCC702" w:rsidR="006356AE" w:rsidRPr="006356AE" w:rsidRDefault="006356AE" w:rsidP="006356AE">
            <w:pPr>
              <w:rPr>
                <w:rFonts w:ascii="Arial" w:hAnsi="Arial"/>
                <w:b/>
                <w:color w:val="000000"/>
                <w:sz w:val="18"/>
                <w:szCs w:val="18"/>
              </w:rPr>
            </w:pPr>
            <w:r w:rsidRPr="006356AE">
              <w:rPr>
                <w:rFonts w:ascii="Arial" w:hAnsi="Arial"/>
                <w:sz w:val="18"/>
              </w:rPr>
              <w:t>Royaume-Uni</w:t>
            </w:r>
          </w:p>
        </w:tc>
        <w:tc>
          <w:tcPr>
            <w:tcW w:w="1347" w:type="dxa"/>
            <w:tcBorders>
              <w:top w:val="nil"/>
              <w:left w:val="nil"/>
              <w:bottom w:val="single" w:sz="4" w:space="0" w:color="auto"/>
              <w:right w:val="single" w:sz="4" w:space="0" w:color="auto"/>
            </w:tcBorders>
            <w:shd w:val="clear" w:color="auto" w:fill="auto"/>
            <w:noWrap/>
            <w:hideMark/>
          </w:tcPr>
          <w:p w14:paraId="681312EE" w14:textId="5B4DDBDE" w:rsidR="006356AE" w:rsidRPr="006356AE" w:rsidRDefault="006356AE" w:rsidP="006356AE">
            <w:pPr>
              <w:jc w:val="center"/>
              <w:rPr>
                <w:rFonts w:ascii="Arial" w:hAnsi="Arial"/>
                <w:b/>
                <w:color w:val="000000"/>
                <w:sz w:val="18"/>
                <w:szCs w:val="18"/>
              </w:rPr>
            </w:pPr>
            <w:r w:rsidRPr="006A1861">
              <w:t>1,1</w:t>
            </w:r>
          </w:p>
        </w:tc>
        <w:tc>
          <w:tcPr>
            <w:tcW w:w="1118" w:type="dxa"/>
            <w:tcBorders>
              <w:top w:val="nil"/>
              <w:left w:val="nil"/>
              <w:bottom w:val="single" w:sz="4" w:space="0" w:color="auto"/>
              <w:right w:val="single" w:sz="4" w:space="0" w:color="auto"/>
            </w:tcBorders>
            <w:shd w:val="clear" w:color="auto" w:fill="auto"/>
            <w:noWrap/>
            <w:vAlign w:val="bottom"/>
            <w:hideMark/>
          </w:tcPr>
          <w:p w14:paraId="3ECA1A5D" w14:textId="4E8D0362" w:rsidR="006356AE" w:rsidRPr="006356AE" w:rsidRDefault="006356AE" w:rsidP="006356AE">
            <w:pPr>
              <w:jc w:val="center"/>
              <w:rPr>
                <w:rFonts w:ascii="Arial" w:hAnsi="Arial"/>
                <w:b/>
                <w:color w:val="000000"/>
                <w:szCs w:val="18"/>
              </w:rPr>
            </w:pPr>
            <w:r w:rsidRPr="006356AE">
              <w:rPr>
                <w:rFonts w:ascii="Arial" w:hAnsi="Arial"/>
                <w:color w:val="000000"/>
                <w:szCs w:val="22"/>
              </w:rPr>
              <w:t>1,4%</w:t>
            </w:r>
          </w:p>
        </w:tc>
      </w:tr>
      <w:tr w:rsidR="006356AE" w:rsidRPr="00813054" w14:paraId="2B3AD6A3" w14:textId="77777777" w:rsidTr="006030C5">
        <w:trPr>
          <w:trHeight w:val="245"/>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55C438BA" w14:textId="110D83FC" w:rsidR="006356AE" w:rsidRPr="006356AE" w:rsidRDefault="006356AE" w:rsidP="006356AE">
            <w:pPr>
              <w:jc w:val="right"/>
              <w:rPr>
                <w:rFonts w:ascii="Arial" w:hAnsi="Arial"/>
                <w:color w:val="000000"/>
                <w:sz w:val="18"/>
                <w:szCs w:val="18"/>
              </w:rPr>
            </w:pPr>
            <w:r w:rsidRPr="006356AE">
              <w:rPr>
                <w:rFonts w:ascii="Arial" w:hAnsi="Arial"/>
                <w:color w:val="000000"/>
                <w:sz w:val="18"/>
                <w:szCs w:val="18"/>
              </w:rPr>
              <w:t>9</w:t>
            </w:r>
          </w:p>
        </w:tc>
        <w:tc>
          <w:tcPr>
            <w:tcW w:w="1282" w:type="dxa"/>
            <w:tcBorders>
              <w:top w:val="nil"/>
              <w:left w:val="nil"/>
              <w:bottom w:val="single" w:sz="4" w:space="0" w:color="auto"/>
              <w:right w:val="single" w:sz="4" w:space="0" w:color="auto"/>
            </w:tcBorders>
            <w:shd w:val="clear" w:color="auto" w:fill="auto"/>
            <w:noWrap/>
            <w:hideMark/>
          </w:tcPr>
          <w:p w14:paraId="63C11BBF" w14:textId="3143942D" w:rsidR="006356AE" w:rsidRPr="006356AE" w:rsidRDefault="006356AE" w:rsidP="006356AE">
            <w:pPr>
              <w:rPr>
                <w:rFonts w:ascii="Arial" w:hAnsi="Arial"/>
                <w:color w:val="000000"/>
                <w:sz w:val="18"/>
                <w:szCs w:val="18"/>
              </w:rPr>
            </w:pPr>
            <w:r w:rsidRPr="006356AE">
              <w:rPr>
                <w:rFonts w:ascii="Arial" w:hAnsi="Arial"/>
                <w:sz w:val="18"/>
              </w:rPr>
              <w:t>Japon</w:t>
            </w:r>
          </w:p>
        </w:tc>
        <w:tc>
          <w:tcPr>
            <w:tcW w:w="1347" w:type="dxa"/>
            <w:tcBorders>
              <w:top w:val="nil"/>
              <w:left w:val="nil"/>
              <w:bottom w:val="single" w:sz="4" w:space="0" w:color="auto"/>
              <w:right w:val="single" w:sz="4" w:space="0" w:color="auto"/>
            </w:tcBorders>
            <w:shd w:val="clear" w:color="auto" w:fill="auto"/>
            <w:hideMark/>
          </w:tcPr>
          <w:p w14:paraId="025268F9" w14:textId="673AB701" w:rsidR="006356AE" w:rsidRPr="006356AE" w:rsidRDefault="006356AE" w:rsidP="006356AE">
            <w:pPr>
              <w:jc w:val="center"/>
              <w:rPr>
                <w:rFonts w:ascii="Arial" w:hAnsi="Arial"/>
                <w:color w:val="000000"/>
                <w:sz w:val="18"/>
                <w:szCs w:val="18"/>
              </w:rPr>
            </w:pPr>
            <w:r w:rsidRPr="006A1861">
              <w:t>1,1</w:t>
            </w:r>
          </w:p>
        </w:tc>
        <w:tc>
          <w:tcPr>
            <w:tcW w:w="1118" w:type="dxa"/>
            <w:tcBorders>
              <w:top w:val="nil"/>
              <w:left w:val="nil"/>
              <w:bottom w:val="single" w:sz="4" w:space="0" w:color="auto"/>
              <w:right w:val="single" w:sz="4" w:space="0" w:color="auto"/>
            </w:tcBorders>
            <w:shd w:val="clear" w:color="auto" w:fill="auto"/>
            <w:noWrap/>
            <w:vAlign w:val="bottom"/>
            <w:hideMark/>
          </w:tcPr>
          <w:p w14:paraId="2E91D23A" w14:textId="2EBFD9A6" w:rsidR="006356AE" w:rsidRPr="006356AE" w:rsidRDefault="006356AE" w:rsidP="006356AE">
            <w:pPr>
              <w:jc w:val="center"/>
              <w:rPr>
                <w:rFonts w:ascii="Arial" w:hAnsi="Arial"/>
                <w:color w:val="000000"/>
                <w:szCs w:val="18"/>
              </w:rPr>
            </w:pPr>
            <w:r w:rsidRPr="006356AE">
              <w:rPr>
                <w:rFonts w:ascii="Arial" w:hAnsi="Arial"/>
                <w:color w:val="000000"/>
                <w:szCs w:val="22"/>
              </w:rPr>
              <w:t>1,3%</w:t>
            </w:r>
          </w:p>
        </w:tc>
      </w:tr>
      <w:tr w:rsidR="006356AE" w:rsidRPr="00813054" w14:paraId="6A9E75D7" w14:textId="77777777" w:rsidTr="006030C5">
        <w:trPr>
          <w:trHeight w:val="245"/>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0B48F459" w14:textId="5485DEC4" w:rsidR="006356AE" w:rsidRPr="006356AE" w:rsidRDefault="006356AE" w:rsidP="006356AE">
            <w:pPr>
              <w:jc w:val="right"/>
              <w:rPr>
                <w:rFonts w:ascii="Arial" w:hAnsi="Arial"/>
                <w:color w:val="000000"/>
                <w:sz w:val="18"/>
                <w:szCs w:val="18"/>
              </w:rPr>
            </w:pPr>
            <w:r w:rsidRPr="006356AE">
              <w:rPr>
                <w:rFonts w:ascii="Arial" w:hAnsi="Arial"/>
                <w:color w:val="000000"/>
                <w:sz w:val="18"/>
                <w:szCs w:val="18"/>
              </w:rPr>
              <w:t>10</w:t>
            </w:r>
          </w:p>
        </w:tc>
        <w:tc>
          <w:tcPr>
            <w:tcW w:w="1282" w:type="dxa"/>
            <w:tcBorders>
              <w:top w:val="nil"/>
              <w:left w:val="nil"/>
              <w:bottom w:val="single" w:sz="4" w:space="0" w:color="auto"/>
              <w:right w:val="single" w:sz="4" w:space="0" w:color="auto"/>
            </w:tcBorders>
            <w:shd w:val="clear" w:color="auto" w:fill="auto"/>
            <w:noWrap/>
            <w:hideMark/>
          </w:tcPr>
          <w:p w14:paraId="08D2B89A" w14:textId="56550348" w:rsidR="006356AE" w:rsidRPr="006356AE" w:rsidRDefault="006356AE" w:rsidP="006356AE">
            <w:pPr>
              <w:rPr>
                <w:rFonts w:ascii="Arial" w:hAnsi="Arial"/>
                <w:color w:val="000000"/>
                <w:sz w:val="18"/>
                <w:szCs w:val="18"/>
              </w:rPr>
            </w:pPr>
            <w:r w:rsidRPr="006356AE">
              <w:rPr>
                <w:rFonts w:ascii="Arial" w:hAnsi="Arial"/>
                <w:sz w:val="18"/>
              </w:rPr>
              <w:t>Russie</w:t>
            </w:r>
          </w:p>
        </w:tc>
        <w:tc>
          <w:tcPr>
            <w:tcW w:w="1347" w:type="dxa"/>
            <w:tcBorders>
              <w:top w:val="nil"/>
              <w:left w:val="nil"/>
              <w:bottom w:val="single" w:sz="4" w:space="0" w:color="auto"/>
              <w:right w:val="single" w:sz="4" w:space="0" w:color="auto"/>
            </w:tcBorders>
            <w:shd w:val="clear" w:color="auto" w:fill="auto"/>
            <w:noWrap/>
            <w:hideMark/>
          </w:tcPr>
          <w:p w14:paraId="17009D40" w14:textId="511B50D9" w:rsidR="006356AE" w:rsidRPr="006356AE" w:rsidRDefault="006356AE" w:rsidP="006356AE">
            <w:pPr>
              <w:jc w:val="center"/>
              <w:rPr>
                <w:rFonts w:ascii="Arial" w:hAnsi="Arial"/>
                <w:color w:val="000000"/>
                <w:sz w:val="18"/>
                <w:szCs w:val="18"/>
              </w:rPr>
            </w:pPr>
            <w:r w:rsidRPr="006A1861">
              <w:t>1,0</w:t>
            </w:r>
          </w:p>
        </w:tc>
        <w:tc>
          <w:tcPr>
            <w:tcW w:w="1118" w:type="dxa"/>
            <w:tcBorders>
              <w:top w:val="nil"/>
              <w:left w:val="nil"/>
              <w:bottom w:val="single" w:sz="4" w:space="0" w:color="auto"/>
              <w:right w:val="single" w:sz="4" w:space="0" w:color="auto"/>
            </w:tcBorders>
            <w:shd w:val="clear" w:color="auto" w:fill="auto"/>
            <w:noWrap/>
            <w:vAlign w:val="bottom"/>
            <w:hideMark/>
          </w:tcPr>
          <w:p w14:paraId="0D9D67A9" w14:textId="3A6F225B" w:rsidR="006356AE" w:rsidRPr="006356AE" w:rsidRDefault="006356AE" w:rsidP="006356AE">
            <w:pPr>
              <w:jc w:val="center"/>
              <w:rPr>
                <w:rFonts w:ascii="Arial" w:hAnsi="Arial"/>
                <w:color w:val="000000"/>
                <w:szCs w:val="18"/>
              </w:rPr>
            </w:pPr>
            <w:r w:rsidRPr="006356AE">
              <w:rPr>
                <w:rFonts w:ascii="Arial" w:hAnsi="Arial"/>
                <w:color w:val="000000"/>
                <w:szCs w:val="22"/>
              </w:rPr>
              <w:t>1,3%</w:t>
            </w:r>
          </w:p>
        </w:tc>
      </w:tr>
    </w:tbl>
    <w:p w14:paraId="62148D46" w14:textId="77777777" w:rsidR="00BC0E23" w:rsidRDefault="00BC0E23" w:rsidP="00BC0E23">
      <w:pPr>
        <w:keepNext/>
        <w:keepLines/>
        <w:pBdr>
          <w:bottom w:val="single" w:sz="8" w:space="1" w:color="002060"/>
        </w:pBdr>
        <w:overflowPunct/>
        <w:autoSpaceDE/>
        <w:autoSpaceDN/>
        <w:adjustRightInd/>
        <w:spacing w:before="600" w:after="120" w:line="276" w:lineRule="auto"/>
        <w:jc w:val="both"/>
        <w:textAlignment w:val="auto"/>
        <w:outlineLvl w:val="0"/>
        <w:rPr>
          <w:rFonts w:ascii="Times New Roman" w:eastAsiaTheme="majorEastAsia" w:hAnsi="Times New Roman" w:cs="Times New Roman"/>
          <w:color w:val="000000" w:themeColor="text1"/>
          <w:sz w:val="18"/>
          <w:szCs w:val="16"/>
          <w:lang w:eastAsia="en-US"/>
        </w:rPr>
      </w:pPr>
    </w:p>
    <w:p w14:paraId="6C747AFB" w14:textId="497CA1E0" w:rsidR="00756837" w:rsidRPr="00BC0E23" w:rsidRDefault="00BC0E23" w:rsidP="00BC0E23">
      <w:pPr>
        <w:keepNext/>
        <w:keepLines/>
        <w:pBdr>
          <w:bottom w:val="single" w:sz="8" w:space="1" w:color="002060"/>
        </w:pBdr>
        <w:overflowPunct/>
        <w:autoSpaceDE/>
        <w:autoSpaceDN/>
        <w:adjustRightInd/>
        <w:spacing w:before="600" w:after="120" w:line="276" w:lineRule="auto"/>
        <w:jc w:val="both"/>
        <w:textAlignment w:val="auto"/>
        <w:outlineLvl w:val="0"/>
        <w:rPr>
          <w:rFonts w:ascii="Times New Roman" w:eastAsiaTheme="majorEastAsia" w:hAnsi="Times New Roman" w:cs="Times New Roman"/>
          <w:color w:val="000000" w:themeColor="text1"/>
          <w:sz w:val="18"/>
          <w:szCs w:val="16"/>
          <w:lang w:eastAsia="en-US"/>
        </w:rPr>
      </w:pPr>
      <w:r w:rsidRPr="00BC0E23">
        <w:rPr>
          <w:rFonts w:ascii="Times New Roman" w:eastAsiaTheme="majorEastAsia" w:hAnsi="Times New Roman" w:cs="Times New Roman"/>
          <w:color w:val="000000" w:themeColor="text1"/>
          <w:sz w:val="18"/>
          <w:szCs w:val="16"/>
          <w:lang w:eastAsia="en-US"/>
        </w:rPr>
        <w:t xml:space="preserve">Clause de non-responsabilité - </w:t>
      </w:r>
      <w:r w:rsidRPr="00BC0E23">
        <w:rPr>
          <w:rFonts w:ascii="Times New Roman" w:eastAsiaTheme="majorEastAsia" w:hAnsi="Times New Roman" w:cs="Times New Roman"/>
          <w:b/>
          <w:bCs/>
          <w:color w:val="000000" w:themeColor="text1"/>
          <w:sz w:val="18"/>
          <w:szCs w:val="16"/>
          <w:lang w:eastAsia="en-US"/>
        </w:rPr>
        <w:t>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w:t>
      </w:r>
    </w:p>
    <w:sectPr w:rsidR="00756837" w:rsidRPr="00BC0E23" w:rsidSect="001E1BB4">
      <w:footerReference w:type="even" r:id="rId13"/>
      <w:footerReference w:type="default" r:id="rId14"/>
      <w:headerReference w:type="first" r:id="rId15"/>
      <w:footerReference w:type="first" r:id="rId16"/>
      <w:pgSz w:w="11907" w:h="16840" w:code="9"/>
      <w:pgMar w:top="851" w:right="851" w:bottom="851" w:left="851" w:header="544" w:footer="53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DEB74" w14:textId="77777777" w:rsidR="00264D7A" w:rsidRDefault="00264D7A">
      <w:r>
        <w:separator/>
      </w:r>
    </w:p>
  </w:endnote>
  <w:endnote w:type="continuationSeparator" w:id="0">
    <w:p w14:paraId="52748857" w14:textId="77777777" w:rsidR="00264D7A" w:rsidRDefault="0026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Univers 57 Condens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0431D" w14:textId="77777777" w:rsidR="0030160F" w:rsidRDefault="0030160F" w:rsidP="00FF3C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CFB76DE" w14:textId="77777777" w:rsidR="0030160F" w:rsidRDefault="0030160F" w:rsidP="0030160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F1E41" w14:textId="77777777" w:rsidR="00292FE0" w:rsidRPr="00A45849" w:rsidRDefault="00292FE0" w:rsidP="00292FE0">
    <w:pPr>
      <w:pStyle w:val="Pieddepage"/>
      <w:jc w:val="center"/>
      <w:rPr>
        <w:rFonts w:ascii="Arial" w:hAnsi="Arial"/>
        <w:b w:val="0"/>
      </w:rPr>
    </w:pPr>
    <w:r>
      <w:rPr>
        <w:rFonts w:ascii="Arial" w:hAnsi="Arial"/>
        <w:b w:val="0"/>
      </w:rPr>
      <w:t>Ambassade de France en Finlande - Service Économique d'Helsinki</w:t>
    </w:r>
  </w:p>
  <w:p w14:paraId="65E88864" w14:textId="77777777" w:rsidR="00292FE0" w:rsidRDefault="00292FE0">
    <w:pPr>
      <w:pStyle w:val="Pieddepage"/>
    </w:pPr>
  </w:p>
  <w:p w14:paraId="24C54A02" w14:textId="77777777" w:rsidR="0030160F" w:rsidRDefault="0030160F" w:rsidP="0030160F">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91" w:type="dxa"/>
      <w:tblBorders>
        <w:top w:val="single" w:sz="4" w:space="0" w:color="auto"/>
      </w:tblBorders>
      <w:tblLook w:val="01E0" w:firstRow="1" w:lastRow="1" w:firstColumn="1" w:lastColumn="1" w:noHBand="0" w:noVBand="0"/>
    </w:tblPr>
    <w:tblGrid>
      <w:gridCol w:w="9791"/>
    </w:tblGrid>
    <w:tr w:rsidR="002634AC" w:rsidRPr="00990DE9" w14:paraId="7060E482" w14:textId="77777777" w:rsidTr="004041C6">
      <w:trPr>
        <w:cantSplit/>
        <w:trHeight w:val="1199"/>
      </w:trPr>
      <w:tc>
        <w:tcPr>
          <w:tcW w:w="9791" w:type="dxa"/>
        </w:tcPr>
        <w:p w14:paraId="79CA124F" w14:textId="77777777" w:rsidR="00E4681D" w:rsidRPr="004F35B5" w:rsidRDefault="00E4681D" w:rsidP="001D245D">
          <w:pPr>
            <w:jc w:val="center"/>
            <w:rPr>
              <w:rFonts w:ascii="Arial" w:hAnsi="Arial"/>
              <w:sz w:val="16"/>
              <w:szCs w:val="16"/>
              <w:lang w:val="sv-SE"/>
            </w:rPr>
          </w:pPr>
          <w:bookmarkStart w:id="4" w:name="AdresseEntete"/>
          <w:bookmarkEnd w:id="4"/>
          <w:r w:rsidRPr="004F35B5">
            <w:rPr>
              <w:rFonts w:ascii="Arial" w:hAnsi="Arial"/>
              <w:sz w:val="16"/>
              <w:szCs w:val="16"/>
              <w:lang w:val="sv-SE"/>
            </w:rPr>
            <w:t>Yrjönkatu 36</w:t>
          </w:r>
        </w:p>
        <w:p w14:paraId="582D64B9" w14:textId="77777777" w:rsidR="00E4681D" w:rsidRPr="004F35B5" w:rsidRDefault="00E4681D" w:rsidP="001D245D">
          <w:pPr>
            <w:jc w:val="center"/>
            <w:rPr>
              <w:rFonts w:ascii="Arial" w:hAnsi="Arial"/>
              <w:sz w:val="16"/>
              <w:szCs w:val="16"/>
              <w:lang w:val="sv-SE"/>
            </w:rPr>
          </w:pPr>
          <w:r w:rsidRPr="004F35B5">
            <w:rPr>
              <w:rFonts w:ascii="Arial" w:hAnsi="Arial"/>
              <w:sz w:val="16"/>
              <w:szCs w:val="16"/>
              <w:lang w:val="sv-SE"/>
            </w:rPr>
            <w:t>FIN-00100 HELSINKI</w:t>
          </w:r>
        </w:p>
        <w:p w14:paraId="607DE924" w14:textId="77777777" w:rsidR="00E4681D" w:rsidRPr="004F35B5" w:rsidRDefault="00E4681D" w:rsidP="001D245D">
          <w:pPr>
            <w:jc w:val="center"/>
            <w:rPr>
              <w:rFonts w:ascii="Arial" w:hAnsi="Arial"/>
              <w:sz w:val="16"/>
              <w:szCs w:val="16"/>
              <w:lang w:val="sv-SE"/>
            </w:rPr>
          </w:pPr>
          <w:r w:rsidRPr="004F35B5">
            <w:rPr>
              <w:rFonts w:ascii="Arial" w:hAnsi="Arial"/>
              <w:sz w:val="16"/>
              <w:szCs w:val="16"/>
              <w:lang w:val="sv-SE"/>
            </w:rPr>
            <w:t>FINLANDE</w:t>
          </w:r>
        </w:p>
        <w:p w14:paraId="59660569" w14:textId="77777777" w:rsidR="00E4681D" w:rsidRPr="005F2C2F" w:rsidRDefault="00E4681D" w:rsidP="001D245D">
          <w:pPr>
            <w:jc w:val="center"/>
            <w:rPr>
              <w:rFonts w:ascii="Arial" w:hAnsi="Arial"/>
              <w:sz w:val="16"/>
              <w:szCs w:val="16"/>
              <w:lang w:val="sv-SE"/>
            </w:rPr>
          </w:pPr>
          <w:r w:rsidRPr="005F2C2F">
            <w:rPr>
              <w:rFonts w:ascii="Arial" w:hAnsi="Arial"/>
              <w:sz w:val="16"/>
              <w:szCs w:val="16"/>
              <w:lang w:val="sv-SE"/>
            </w:rPr>
            <w:t xml:space="preserve">Tél. : +358 (0)9 680 36 36 - </w:t>
          </w:r>
          <w:hyperlink r:id="rId1" w:history="1">
            <w:r w:rsidRPr="005F2C2F">
              <w:rPr>
                <w:rStyle w:val="Lienhypertexte"/>
                <w:rFonts w:ascii="Arial" w:hAnsi="Arial"/>
                <w:sz w:val="16"/>
                <w:szCs w:val="16"/>
                <w:lang w:val="sv-SE"/>
              </w:rPr>
              <w:t>http://www.tresor.economie.gouv.fr/pays/finlande</w:t>
            </w:r>
          </w:hyperlink>
        </w:p>
        <w:p w14:paraId="39EA663C" w14:textId="77777777" w:rsidR="002634AC" w:rsidRPr="00E4681D" w:rsidRDefault="002634AC" w:rsidP="00B50F1C">
          <w:pPr>
            <w:pStyle w:val="Pieddepage"/>
            <w:tabs>
              <w:tab w:val="left" w:pos="1907"/>
              <w:tab w:val="left" w:pos="8106"/>
            </w:tabs>
            <w:spacing w:before="120" w:after="120"/>
            <w:jc w:val="center"/>
            <w:rPr>
              <w:rFonts w:ascii="Univers 57 Condensed" w:hAnsi="Univers 57 Condensed"/>
              <w:b w:val="0"/>
              <w:szCs w:val="16"/>
              <w:lang w:val="sv-SE"/>
            </w:rPr>
          </w:pPr>
        </w:p>
      </w:tc>
    </w:tr>
  </w:tbl>
  <w:p w14:paraId="502B51D3" w14:textId="77777777" w:rsidR="002634AC" w:rsidRDefault="002634AC" w:rsidP="00823C30">
    <w:pPr>
      <w:pStyle w:val="Pieddepage"/>
      <w:tabs>
        <w:tab w:val="left" w:pos="8106"/>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C7244" w14:textId="77777777" w:rsidR="00264D7A" w:rsidRDefault="00264D7A">
      <w:r>
        <w:separator/>
      </w:r>
    </w:p>
  </w:footnote>
  <w:footnote w:type="continuationSeparator" w:id="0">
    <w:p w14:paraId="3FAC468C" w14:textId="77777777" w:rsidR="00264D7A" w:rsidRDefault="00264D7A">
      <w:r>
        <w:continuationSeparator/>
      </w:r>
    </w:p>
  </w:footnote>
  <w:footnote w:id="1">
    <w:p w14:paraId="5BF7AD7F" w14:textId="0AF9D1FA" w:rsidR="009A1E3F" w:rsidRPr="00F2047D" w:rsidRDefault="009A1E3F" w:rsidP="00F2047D">
      <w:pPr>
        <w:pStyle w:val="Notedebasdepage"/>
        <w:jc w:val="both"/>
        <w:rPr>
          <w:rFonts w:ascii="Times New Roman" w:hAnsi="Times New Roman" w:cs="Times New Roman"/>
          <w:sz w:val="16"/>
          <w:szCs w:val="16"/>
        </w:rPr>
      </w:pPr>
      <w:r w:rsidRPr="00F2047D">
        <w:rPr>
          <w:rStyle w:val="Appelnotedebasdep"/>
          <w:rFonts w:ascii="Times New Roman" w:hAnsi="Times New Roman" w:cs="Times New Roman"/>
          <w:sz w:val="22"/>
        </w:rPr>
        <w:footnoteRef/>
      </w:r>
      <w:r w:rsidRPr="00F2047D">
        <w:rPr>
          <w:rFonts w:ascii="Times New Roman" w:hAnsi="Times New Roman" w:cs="Times New Roman"/>
          <w:sz w:val="22"/>
        </w:rPr>
        <w:t xml:space="preserve"> </w:t>
      </w:r>
      <w:r w:rsidR="00DA4CF8" w:rsidRPr="00F2047D">
        <w:rPr>
          <w:rFonts w:ascii="Times New Roman" w:hAnsi="Times New Roman" w:cs="Times New Roman"/>
          <w:sz w:val="18"/>
          <w:szCs w:val="16"/>
        </w:rPr>
        <w:t>Il peut s’agir</w:t>
      </w:r>
      <w:r w:rsidRPr="00F2047D">
        <w:rPr>
          <w:rFonts w:ascii="Times New Roman" w:hAnsi="Times New Roman" w:cs="Times New Roman"/>
          <w:sz w:val="18"/>
          <w:szCs w:val="16"/>
        </w:rPr>
        <w:t xml:space="preserve"> du pays par lequel les investissements ne font que transiter, l’investisseur lui-même étant originaire d’un autre pays.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2765D" w14:textId="77777777" w:rsidR="002634AC" w:rsidRDefault="00CD01F1" w:rsidP="00F24D97">
    <w:pPr>
      <w:pStyle w:val="En-tte"/>
      <w:jc w:val="center"/>
    </w:pPr>
    <w:r>
      <w:rPr>
        <w:noProof/>
      </w:rPr>
      <w:drawing>
        <wp:inline distT="0" distB="0" distL="0" distR="0" wp14:anchorId="348E2921" wp14:editId="4CCCA596">
          <wp:extent cx="914400" cy="542925"/>
          <wp:effectExtent l="0" t="0" r="0" b="9525"/>
          <wp:docPr id="7" name="Image 7" descr="MariannePant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nnePanto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2925"/>
                  </a:xfrm>
                  <a:prstGeom prst="rect">
                    <a:avLst/>
                  </a:prstGeom>
                  <a:noFill/>
                  <a:ln>
                    <a:noFill/>
                  </a:ln>
                </pic:spPr>
              </pic:pic>
            </a:graphicData>
          </a:graphic>
        </wp:inline>
      </w:drawing>
    </w:r>
  </w:p>
  <w:p w14:paraId="71238A79" w14:textId="77777777" w:rsidR="002634AC" w:rsidRPr="00823C30" w:rsidRDefault="002634AC">
    <w:pPr>
      <w:pStyle w:val="En-tte"/>
      <w:jc w:val="center"/>
      <w:rPr>
        <w:smallCaps/>
        <w:sz w:val="24"/>
        <w:szCs w:val="24"/>
      </w:rPr>
    </w:pPr>
  </w:p>
  <w:p w14:paraId="7B84491A" w14:textId="77777777" w:rsidR="00E4681D" w:rsidRDefault="00E4681D" w:rsidP="00E4681D">
    <w:pPr>
      <w:pStyle w:val="En-tte"/>
      <w:jc w:val="center"/>
      <w:rPr>
        <w:rFonts w:ascii="Arial" w:hAnsi="Arial"/>
        <w:b/>
        <w:smallCaps/>
        <w:sz w:val="24"/>
        <w:szCs w:val="24"/>
      </w:rPr>
    </w:pPr>
    <w:bookmarkStart w:id="1" w:name="Entête"/>
    <w:bookmarkEnd w:id="1"/>
    <w:r>
      <w:rPr>
        <w:rFonts w:ascii="Arial" w:hAnsi="Arial"/>
        <w:b/>
        <w:smallCaps/>
        <w:sz w:val="24"/>
        <w:szCs w:val="24"/>
      </w:rPr>
      <w:t>Ambassade de France en Finlande</w:t>
    </w:r>
  </w:p>
  <w:p w14:paraId="1CF5621C" w14:textId="77777777" w:rsidR="002634AC" w:rsidRPr="003220F5" w:rsidRDefault="00E4681D" w:rsidP="00E4681D">
    <w:pPr>
      <w:pStyle w:val="En-tte"/>
      <w:jc w:val="center"/>
      <w:rPr>
        <w:rFonts w:ascii="Univers 55" w:hAnsi="Univers 55"/>
        <w:b/>
        <w:smallCaps/>
        <w:sz w:val="24"/>
        <w:szCs w:val="24"/>
      </w:rPr>
    </w:pPr>
    <w:r>
      <w:rPr>
        <w:rFonts w:ascii="Arial" w:hAnsi="Arial"/>
        <w:b/>
        <w:smallCaps/>
        <w:sz w:val="24"/>
        <w:szCs w:val="24"/>
      </w:rPr>
      <w:t>Service Économique d'Helsinki</w:t>
    </w:r>
  </w:p>
  <w:tbl>
    <w:tblPr>
      <w:tblW w:w="9072" w:type="dxa"/>
      <w:tblCellMar>
        <w:left w:w="70" w:type="dxa"/>
        <w:right w:w="70" w:type="dxa"/>
      </w:tblCellMar>
      <w:tblLook w:val="0000" w:firstRow="0" w:lastRow="0" w:firstColumn="0" w:lastColumn="0" w:noHBand="0" w:noVBand="0"/>
    </w:tblPr>
    <w:tblGrid>
      <w:gridCol w:w="6804"/>
      <w:gridCol w:w="2268"/>
    </w:tblGrid>
    <w:tr w:rsidR="002634AC" w:rsidRPr="002824A7" w14:paraId="52CF8497" w14:textId="77777777" w:rsidTr="000032B1">
      <w:tc>
        <w:tcPr>
          <w:tcW w:w="6804" w:type="dxa"/>
          <w:vAlign w:val="center"/>
        </w:tcPr>
        <w:p w14:paraId="0CC182CC" w14:textId="77777777" w:rsidR="007C7984" w:rsidRDefault="007C7984" w:rsidP="00CB2AA5">
          <w:pPr>
            <w:pStyle w:val="Textedebulles"/>
            <w:rPr>
              <w:rFonts w:ascii="Univers 55" w:hAnsi="Univers 55" w:cs="Arial"/>
              <w:sz w:val="20"/>
              <w:szCs w:val="20"/>
            </w:rPr>
          </w:pPr>
          <w:bookmarkStart w:id="2" w:name="IntituleEntete"/>
          <w:bookmarkEnd w:id="2"/>
        </w:p>
        <w:p w14:paraId="52FB695D" w14:textId="77777777" w:rsidR="002634AC" w:rsidRDefault="00FC21CF" w:rsidP="00CB2AA5">
          <w:pPr>
            <w:pStyle w:val="Textedebulles"/>
            <w:rPr>
              <w:rFonts w:ascii="Univers 55" w:hAnsi="Univers 55" w:cs="Arial"/>
              <w:sz w:val="20"/>
              <w:szCs w:val="20"/>
            </w:rPr>
          </w:pPr>
          <w:r>
            <w:rPr>
              <w:rFonts w:ascii="Univers 55" w:hAnsi="Univers 55" w:cs="Arial"/>
              <w:sz w:val="20"/>
              <w:szCs w:val="20"/>
            </w:rPr>
            <w:t>Rédigé par : Thomas Cardiel</w:t>
          </w:r>
        </w:p>
        <w:p w14:paraId="4766B39E" w14:textId="66B1947B" w:rsidR="00FC21CF" w:rsidRPr="00CB2AA5" w:rsidRDefault="00FC21CF" w:rsidP="00CB2AA5">
          <w:pPr>
            <w:pStyle w:val="Textedebulles"/>
            <w:rPr>
              <w:rFonts w:ascii="Times New Roman" w:hAnsi="Times New Roman" w:cs="Times New Roman"/>
              <w:sz w:val="18"/>
              <w:szCs w:val="18"/>
            </w:rPr>
          </w:pPr>
          <w:r>
            <w:rPr>
              <w:rFonts w:ascii="Univers 55" w:hAnsi="Univers 55" w:cs="Arial"/>
              <w:sz w:val="20"/>
              <w:szCs w:val="20"/>
            </w:rPr>
            <w:t>Revu par : Nadine Mouy</w:t>
          </w:r>
        </w:p>
      </w:tc>
      <w:tc>
        <w:tcPr>
          <w:tcW w:w="2268" w:type="dxa"/>
          <w:vAlign w:val="center"/>
        </w:tcPr>
        <w:p w14:paraId="4A05926F" w14:textId="1E4A3EDA" w:rsidR="002634AC" w:rsidRPr="002824A7" w:rsidRDefault="001A40EC" w:rsidP="00FC21CF">
          <w:pPr>
            <w:pStyle w:val="En-tte"/>
            <w:spacing w:before="360"/>
            <w:rPr>
              <w:rFonts w:ascii="Univers 55" w:hAnsi="Univers 55"/>
            </w:rPr>
          </w:pPr>
          <w:bookmarkStart w:id="3" w:name="Ville"/>
          <w:bookmarkEnd w:id="3"/>
          <w:r>
            <w:rPr>
              <w:rFonts w:ascii="Univers 55" w:hAnsi="Univers 55"/>
            </w:rPr>
            <w:t xml:space="preserve"> </w:t>
          </w:r>
          <w:r w:rsidR="00E4681D">
            <w:rPr>
              <w:rFonts w:ascii="Univers 55" w:hAnsi="Univers 55"/>
            </w:rPr>
            <w:t xml:space="preserve">Helsinki, </w:t>
          </w:r>
          <w:r w:rsidR="002634AC" w:rsidRPr="002824A7">
            <w:rPr>
              <w:rFonts w:ascii="Univers 55" w:hAnsi="Univers 55"/>
            </w:rPr>
            <w:t xml:space="preserve">le </w:t>
          </w:r>
          <w:r w:rsidR="000607AC">
            <w:rPr>
              <w:rFonts w:ascii="Univers 55" w:hAnsi="Univers 55"/>
            </w:rPr>
            <w:t>1</w:t>
          </w:r>
          <w:r w:rsidR="00FC21CF">
            <w:rPr>
              <w:rFonts w:ascii="Univers 55" w:hAnsi="Univers 55"/>
            </w:rPr>
            <w:t>5</w:t>
          </w:r>
          <w:r w:rsidR="000607AC">
            <w:rPr>
              <w:rFonts w:ascii="Univers 55" w:hAnsi="Univers 55"/>
            </w:rPr>
            <w:t>/12/201</w:t>
          </w:r>
          <w:r w:rsidR="00FC21CF">
            <w:rPr>
              <w:rFonts w:ascii="Univers 55" w:hAnsi="Univers 55"/>
            </w:rPr>
            <w:t>7</w:t>
          </w:r>
        </w:p>
      </w:tc>
    </w:tr>
  </w:tbl>
  <w:p w14:paraId="7E1E6DA4" w14:textId="77777777" w:rsidR="003220F5" w:rsidRPr="002824A7" w:rsidRDefault="003220F5" w:rsidP="003220F5">
    <w:pPr>
      <w:pStyle w:val="Textedebulles"/>
      <w:rPr>
        <w:rFonts w:ascii="Univers 55" w:hAnsi="Univers 55"/>
      </w:rPr>
    </w:pPr>
  </w:p>
  <w:p w14:paraId="70613625" w14:textId="77777777" w:rsidR="000358AE" w:rsidRPr="00CF6E70" w:rsidRDefault="000358AE" w:rsidP="003220F5">
    <w:pPr>
      <w:pStyle w:val="Textedebulles"/>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40010"/>
    <w:multiLevelType w:val="hybridMultilevel"/>
    <w:tmpl w:val="06206C86"/>
    <w:lvl w:ilvl="0" w:tplc="6402255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730429"/>
    <w:multiLevelType w:val="hybridMultilevel"/>
    <w:tmpl w:val="9A7AD8F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B27BF2"/>
    <w:multiLevelType w:val="hybridMultilevel"/>
    <w:tmpl w:val="D02A81DC"/>
    <w:lvl w:ilvl="0" w:tplc="7E9237B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C132C2"/>
    <w:multiLevelType w:val="hybridMultilevel"/>
    <w:tmpl w:val="F00C995C"/>
    <w:lvl w:ilvl="0" w:tplc="040C000B">
      <w:start w:val="1"/>
      <w:numFmt w:val="bullet"/>
      <w:lvlText w:val=""/>
      <w:lvlJc w:val="left"/>
      <w:pPr>
        <w:tabs>
          <w:tab w:val="num" w:pos="1117"/>
        </w:tabs>
        <w:ind w:left="1117" w:hanging="360"/>
      </w:pPr>
      <w:rPr>
        <w:rFonts w:ascii="Wingdings" w:hAnsi="Wingdings" w:hint="default"/>
      </w:rPr>
    </w:lvl>
    <w:lvl w:ilvl="1" w:tplc="040C0003" w:tentative="1">
      <w:start w:val="1"/>
      <w:numFmt w:val="bullet"/>
      <w:lvlText w:val="o"/>
      <w:lvlJc w:val="left"/>
      <w:pPr>
        <w:tabs>
          <w:tab w:val="num" w:pos="1837"/>
        </w:tabs>
        <w:ind w:left="1837" w:hanging="360"/>
      </w:pPr>
      <w:rPr>
        <w:rFonts w:ascii="Courier New" w:hAnsi="Courier New" w:cs="Courier New" w:hint="default"/>
      </w:rPr>
    </w:lvl>
    <w:lvl w:ilvl="2" w:tplc="040C0005" w:tentative="1">
      <w:start w:val="1"/>
      <w:numFmt w:val="bullet"/>
      <w:lvlText w:val=""/>
      <w:lvlJc w:val="left"/>
      <w:pPr>
        <w:tabs>
          <w:tab w:val="num" w:pos="2557"/>
        </w:tabs>
        <w:ind w:left="2557" w:hanging="360"/>
      </w:pPr>
      <w:rPr>
        <w:rFonts w:ascii="Wingdings" w:hAnsi="Wingdings" w:hint="default"/>
      </w:rPr>
    </w:lvl>
    <w:lvl w:ilvl="3" w:tplc="040C0001" w:tentative="1">
      <w:start w:val="1"/>
      <w:numFmt w:val="bullet"/>
      <w:lvlText w:val=""/>
      <w:lvlJc w:val="left"/>
      <w:pPr>
        <w:tabs>
          <w:tab w:val="num" w:pos="3277"/>
        </w:tabs>
        <w:ind w:left="3277" w:hanging="360"/>
      </w:pPr>
      <w:rPr>
        <w:rFonts w:ascii="Symbol" w:hAnsi="Symbol" w:hint="default"/>
      </w:rPr>
    </w:lvl>
    <w:lvl w:ilvl="4" w:tplc="040C0003" w:tentative="1">
      <w:start w:val="1"/>
      <w:numFmt w:val="bullet"/>
      <w:lvlText w:val="o"/>
      <w:lvlJc w:val="left"/>
      <w:pPr>
        <w:tabs>
          <w:tab w:val="num" w:pos="3997"/>
        </w:tabs>
        <w:ind w:left="3997" w:hanging="360"/>
      </w:pPr>
      <w:rPr>
        <w:rFonts w:ascii="Courier New" w:hAnsi="Courier New" w:cs="Courier New" w:hint="default"/>
      </w:rPr>
    </w:lvl>
    <w:lvl w:ilvl="5" w:tplc="040C0005" w:tentative="1">
      <w:start w:val="1"/>
      <w:numFmt w:val="bullet"/>
      <w:lvlText w:val=""/>
      <w:lvlJc w:val="left"/>
      <w:pPr>
        <w:tabs>
          <w:tab w:val="num" w:pos="4717"/>
        </w:tabs>
        <w:ind w:left="4717" w:hanging="360"/>
      </w:pPr>
      <w:rPr>
        <w:rFonts w:ascii="Wingdings" w:hAnsi="Wingdings" w:hint="default"/>
      </w:rPr>
    </w:lvl>
    <w:lvl w:ilvl="6" w:tplc="040C0001" w:tentative="1">
      <w:start w:val="1"/>
      <w:numFmt w:val="bullet"/>
      <w:lvlText w:val=""/>
      <w:lvlJc w:val="left"/>
      <w:pPr>
        <w:tabs>
          <w:tab w:val="num" w:pos="5437"/>
        </w:tabs>
        <w:ind w:left="5437" w:hanging="360"/>
      </w:pPr>
      <w:rPr>
        <w:rFonts w:ascii="Symbol" w:hAnsi="Symbol" w:hint="default"/>
      </w:rPr>
    </w:lvl>
    <w:lvl w:ilvl="7" w:tplc="040C0003" w:tentative="1">
      <w:start w:val="1"/>
      <w:numFmt w:val="bullet"/>
      <w:lvlText w:val="o"/>
      <w:lvlJc w:val="left"/>
      <w:pPr>
        <w:tabs>
          <w:tab w:val="num" w:pos="6157"/>
        </w:tabs>
        <w:ind w:left="6157" w:hanging="360"/>
      </w:pPr>
      <w:rPr>
        <w:rFonts w:ascii="Courier New" w:hAnsi="Courier New" w:cs="Courier New" w:hint="default"/>
      </w:rPr>
    </w:lvl>
    <w:lvl w:ilvl="8" w:tplc="040C0005" w:tentative="1">
      <w:start w:val="1"/>
      <w:numFmt w:val="bullet"/>
      <w:lvlText w:val=""/>
      <w:lvlJc w:val="left"/>
      <w:pPr>
        <w:tabs>
          <w:tab w:val="num" w:pos="6877"/>
        </w:tabs>
        <w:ind w:left="6877" w:hanging="360"/>
      </w:pPr>
      <w:rPr>
        <w:rFonts w:ascii="Wingdings" w:hAnsi="Wingdings" w:hint="default"/>
      </w:rPr>
    </w:lvl>
  </w:abstractNum>
  <w:abstractNum w:abstractNumId="4" w15:restartNumberingAfterBreak="0">
    <w:nsid w:val="2081300B"/>
    <w:multiLevelType w:val="hybridMultilevel"/>
    <w:tmpl w:val="BBE4BCF6"/>
    <w:lvl w:ilvl="0" w:tplc="F50216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A14206"/>
    <w:multiLevelType w:val="hybridMultilevel"/>
    <w:tmpl w:val="D02A81DC"/>
    <w:lvl w:ilvl="0" w:tplc="7E9237B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523CC0"/>
    <w:multiLevelType w:val="hybridMultilevel"/>
    <w:tmpl w:val="8FAC21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53494B"/>
    <w:multiLevelType w:val="hybridMultilevel"/>
    <w:tmpl w:val="BF524FD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941313"/>
    <w:multiLevelType w:val="hybridMultilevel"/>
    <w:tmpl w:val="50788414"/>
    <w:lvl w:ilvl="0" w:tplc="97AAF4C8">
      <w:start w:val="1"/>
      <w:numFmt w:val="upperRoman"/>
      <w:lvlText w:val="%1-"/>
      <w:lvlJc w:val="left"/>
      <w:pPr>
        <w:ind w:left="1080" w:hanging="720"/>
      </w:pPr>
      <w:rPr>
        <w:rFonts w:ascii="Times New Roman" w:hAnsi="Times New Roman"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771A1B"/>
    <w:multiLevelType w:val="hybridMultilevel"/>
    <w:tmpl w:val="89029390"/>
    <w:lvl w:ilvl="0" w:tplc="8E584AD6">
      <w:numFmt w:val="bullet"/>
      <w:lvlText w:val="-"/>
      <w:lvlJc w:val="left"/>
      <w:pPr>
        <w:tabs>
          <w:tab w:val="num" w:pos="720"/>
        </w:tabs>
        <w:ind w:left="720" w:hanging="360"/>
      </w:pPr>
      <w:rPr>
        <w:rFonts w:ascii="Univers" w:eastAsia="Times New Roman" w:hAnsi="Univer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F526F0"/>
    <w:multiLevelType w:val="hybridMultilevel"/>
    <w:tmpl w:val="9A785E4E"/>
    <w:lvl w:ilvl="0" w:tplc="4BBCDCA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CF235E"/>
    <w:multiLevelType w:val="hybridMultilevel"/>
    <w:tmpl w:val="60C60CD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5C813B3"/>
    <w:multiLevelType w:val="hybridMultilevel"/>
    <w:tmpl w:val="698EE0AC"/>
    <w:lvl w:ilvl="0" w:tplc="EECA578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707AB9"/>
    <w:multiLevelType w:val="hybridMultilevel"/>
    <w:tmpl w:val="36E42830"/>
    <w:lvl w:ilvl="0" w:tplc="AC40C4F4">
      <w:start w:val="1"/>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15:restartNumberingAfterBreak="0">
    <w:nsid w:val="635B5822"/>
    <w:multiLevelType w:val="hybridMultilevel"/>
    <w:tmpl w:val="A2AE5D62"/>
    <w:lvl w:ilvl="0" w:tplc="381284E2">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667C24"/>
    <w:multiLevelType w:val="hybridMultilevel"/>
    <w:tmpl w:val="9F6C98F8"/>
    <w:lvl w:ilvl="0" w:tplc="F4EEF5CE">
      <w:numFmt w:val="bullet"/>
      <w:lvlText w:val="-"/>
      <w:lvlJc w:val="left"/>
      <w:pPr>
        <w:ind w:left="-708" w:hanging="360"/>
      </w:pPr>
      <w:rPr>
        <w:rFonts w:ascii="Times New Roman" w:eastAsia="Times New Roman" w:hAnsi="Times New Roman" w:cs="Times New Roman"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32" w:hanging="360"/>
      </w:pPr>
      <w:rPr>
        <w:rFonts w:ascii="Wingdings" w:hAnsi="Wingdings" w:hint="default"/>
      </w:rPr>
    </w:lvl>
    <w:lvl w:ilvl="3" w:tplc="040C0001" w:tentative="1">
      <w:start w:val="1"/>
      <w:numFmt w:val="bullet"/>
      <w:lvlText w:val=""/>
      <w:lvlJc w:val="left"/>
      <w:pPr>
        <w:ind w:left="1452" w:hanging="360"/>
      </w:pPr>
      <w:rPr>
        <w:rFonts w:ascii="Symbol" w:hAnsi="Symbol" w:hint="default"/>
      </w:rPr>
    </w:lvl>
    <w:lvl w:ilvl="4" w:tplc="040C0003" w:tentative="1">
      <w:start w:val="1"/>
      <w:numFmt w:val="bullet"/>
      <w:lvlText w:val="o"/>
      <w:lvlJc w:val="left"/>
      <w:pPr>
        <w:ind w:left="2172" w:hanging="360"/>
      </w:pPr>
      <w:rPr>
        <w:rFonts w:ascii="Courier New" w:hAnsi="Courier New" w:cs="Courier New" w:hint="default"/>
      </w:rPr>
    </w:lvl>
    <w:lvl w:ilvl="5" w:tplc="040C0005" w:tentative="1">
      <w:start w:val="1"/>
      <w:numFmt w:val="bullet"/>
      <w:lvlText w:val=""/>
      <w:lvlJc w:val="left"/>
      <w:pPr>
        <w:ind w:left="2892" w:hanging="360"/>
      </w:pPr>
      <w:rPr>
        <w:rFonts w:ascii="Wingdings" w:hAnsi="Wingdings" w:hint="default"/>
      </w:rPr>
    </w:lvl>
    <w:lvl w:ilvl="6" w:tplc="040C0001" w:tentative="1">
      <w:start w:val="1"/>
      <w:numFmt w:val="bullet"/>
      <w:lvlText w:val=""/>
      <w:lvlJc w:val="left"/>
      <w:pPr>
        <w:ind w:left="3612" w:hanging="360"/>
      </w:pPr>
      <w:rPr>
        <w:rFonts w:ascii="Symbol" w:hAnsi="Symbol" w:hint="default"/>
      </w:rPr>
    </w:lvl>
    <w:lvl w:ilvl="7" w:tplc="040C0003" w:tentative="1">
      <w:start w:val="1"/>
      <w:numFmt w:val="bullet"/>
      <w:lvlText w:val="o"/>
      <w:lvlJc w:val="left"/>
      <w:pPr>
        <w:ind w:left="4332" w:hanging="360"/>
      </w:pPr>
      <w:rPr>
        <w:rFonts w:ascii="Courier New" w:hAnsi="Courier New" w:cs="Courier New" w:hint="default"/>
      </w:rPr>
    </w:lvl>
    <w:lvl w:ilvl="8" w:tplc="040C0005" w:tentative="1">
      <w:start w:val="1"/>
      <w:numFmt w:val="bullet"/>
      <w:lvlText w:val=""/>
      <w:lvlJc w:val="left"/>
      <w:pPr>
        <w:ind w:left="5052" w:hanging="360"/>
      </w:pPr>
      <w:rPr>
        <w:rFonts w:ascii="Wingdings" w:hAnsi="Wingdings" w:hint="default"/>
      </w:rPr>
    </w:lvl>
  </w:abstractNum>
  <w:abstractNum w:abstractNumId="16" w15:restartNumberingAfterBreak="0">
    <w:nsid w:val="64334C60"/>
    <w:multiLevelType w:val="hybridMultilevel"/>
    <w:tmpl w:val="6DACC5FE"/>
    <w:lvl w:ilvl="0" w:tplc="44386CEE">
      <w:start w:val="1"/>
      <w:numFmt w:val="upperRoman"/>
      <w:lvlText w:val="%1."/>
      <w:lvlJc w:val="left"/>
      <w:pPr>
        <w:ind w:left="1785" w:hanging="720"/>
      </w:pPr>
      <w:rPr>
        <w:rFonts w:hint="default"/>
        <w:b w:val="0"/>
        <w:u w:val="none"/>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7" w15:restartNumberingAfterBreak="0">
    <w:nsid w:val="685021A2"/>
    <w:multiLevelType w:val="hybridMultilevel"/>
    <w:tmpl w:val="E1BC793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0596234"/>
    <w:multiLevelType w:val="hybridMultilevel"/>
    <w:tmpl w:val="5F2C9850"/>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837"/>
        </w:tabs>
        <w:ind w:left="1837" w:hanging="360"/>
      </w:pPr>
      <w:rPr>
        <w:rFonts w:ascii="Courier New" w:hAnsi="Courier New" w:cs="Courier New" w:hint="default"/>
      </w:rPr>
    </w:lvl>
    <w:lvl w:ilvl="2" w:tplc="040C0005" w:tentative="1">
      <w:start w:val="1"/>
      <w:numFmt w:val="bullet"/>
      <w:lvlText w:val=""/>
      <w:lvlJc w:val="left"/>
      <w:pPr>
        <w:tabs>
          <w:tab w:val="num" w:pos="2557"/>
        </w:tabs>
        <w:ind w:left="2557" w:hanging="360"/>
      </w:pPr>
      <w:rPr>
        <w:rFonts w:ascii="Wingdings" w:hAnsi="Wingdings" w:hint="default"/>
      </w:rPr>
    </w:lvl>
    <w:lvl w:ilvl="3" w:tplc="040C0001" w:tentative="1">
      <w:start w:val="1"/>
      <w:numFmt w:val="bullet"/>
      <w:lvlText w:val=""/>
      <w:lvlJc w:val="left"/>
      <w:pPr>
        <w:tabs>
          <w:tab w:val="num" w:pos="3277"/>
        </w:tabs>
        <w:ind w:left="3277" w:hanging="360"/>
      </w:pPr>
      <w:rPr>
        <w:rFonts w:ascii="Symbol" w:hAnsi="Symbol" w:hint="default"/>
      </w:rPr>
    </w:lvl>
    <w:lvl w:ilvl="4" w:tplc="040C0003" w:tentative="1">
      <w:start w:val="1"/>
      <w:numFmt w:val="bullet"/>
      <w:lvlText w:val="o"/>
      <w:lvlJc w:val="left"/>
      <w:pPr>
        <w:tabs>
          <w:tab w:val="num" w:pos="3997"/>
        </w:tabs>
        <w:ind w:left="3997" w:hanging="360"/>
      </w:pPr>
      <w:rPr>
        <w:rFonts w:ascii="Courier New" w:hAnsi="Courier New" w:cs="Courier New" w:hint="default"/>
      </w:rPr>
    </w:lvl>
    <w:lvl w:ilvl="5" w:tplc="040C0005" w:tentative="1">
      <w:start w:val="1"/>
      <w:numFmt w:val="bullet"/>
      <w:lvlText w:val=""/>
      <w:lvlJc w:val="left"/>
      <w:pPr>
        <w:tabs>
          <w:tab w:val="num" w:pos="4717"/>
        </w:tabs>
        <w:ind w:left="4717" w:hanging="360"/>
      </w:pPr>
      <w:rPr>
        <w:rFonts w:ascii="Wingdings" w:hAnsi="Wingdings" w:hint="default"/>
      </w:rPr>
    </w:lvl>
    <w:lvl w:ilvl="6" w:tplc="040C0001" w:tentative="1">
      <w:start w:val="1"/>
      <w:numFmt w:val="bullet"/>
      <w:lvlText w:val=""/>
      <w:lvlJc w:val="left"/>
      <w:pPr>
        <w:tabs>
          <w:tab w:val="num" w:pos="5437"/>
        </w:tabs>
        <w:ind w:left="5437" w:hanging="360"/>
      </w:pPr>
      <w:rPr>
        <w:rFonts w:ascii="Symbol" w:hAnsi="Symbol" w:hint="default"/>
      </w:rPr>
    </w:lvl>
    <w:lvl w:ilvl="7" w:tplc="040C0003" w:tentative="1">
      <w:start w:val="1"/>
      <w:numFmt w:val="bullet"/>
      <w:lvlText w:val="o"/>
      <w:lvlJc w:val="left"/>
      <w:pPr>
        <w:tabs>
          <w:tab w:val="num" w:pos="6157"/>
        </w:tabs>
        <w:ind w:left="6157" w:hanging="360"/>
      </w:pPr>
      <w:rPr>
        <w:rFonts w:ascii="Courier New" w:hAnsi="Courier New" w:cs="Courier New" w:hint="default"/>
      </w:rPr>
    </w:lvl>
    <w:lvl w:ilvl="8" w:tplc="040C0005" w:tentative="1">
      <w:start w:val="1"/>
      <w:numFmt w:val="bullet"/>
      <w:lvlText w:val=""/>
      <w:lvlJc w:val="left"/>
      <w:pPr>
        <w:tabs>
          <w:tab w:val="num" w:pos="6877"/>
        </w:tabs>
        <w:ind w:left="6877" w:hanging="360"/>
      </w:pPr>
      <w:rPr>
        <w:rFonts w:ascii="Wingdings" w:hAnsi="Wingdings" w:hint="default"/>
      </w:rPr>
    </w:lvl>
  </w:abstractNum>
  <w:abstractNum w:abstractNumId="19" w15:restartNumberingAfterBreak="0">
    <w:nsid w:val="70B10CE8"/>
    <w:multiLevelType w:val="multilevel"/>
    <w:tmpl w:val="ABBE16E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11F56"/>
    <w:multiLevelType w:val="hybridMultilevel"/>
    <w:tmpl w:val="9AA66A70"/>
    <w:lvl w:ilvl="0" w:tplc="381284E2">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A55929"/>
    <w:multiLevelType w:val="hybridMultilevel"/>
    <w:tmpl w:val="ABBE16E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275C39"/>
    <w:multiLevelType w:val="hybridMultilevel"/>
    <w:tmpl w:val="698EE0AC"/>
    <w:lvl w:ilvl="0" w:tplc="EECA578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21"/>
  </w:num>
  <w:num w:numId="4">
    <w:abstractNumId w:val="19"/>
  </w:num>
  <w:num w:numId="5">
    <w:abstractNumId w:val="14"/>
  </w:num>
  <w:num w:numId="6">
    <w:abstractNumId w:val="20"/>
  </w:num>
  <w:num w:numId="7">
    <w:abstractNumId w:val="3"/>
  </w:num>
  <w:num w:numId="8">
    <w:abstractNumId w:val="18"/>
  </w:num>
  <w:num w:numId="9">
    <w:abstractNumId w:val="1"/>
  </w:num>
  <w:num w:numId="10">
    <w:abstractNumId w:val="6"/>
  </w:num>
  <w:num w:numId="11">
    <w:abstractNumId w:val="12"/>
  </w:num>
  <w:num w:numId="12">
    <w:abstractNumId w:val="22"/>
  </w:num>
  <w:num w:numId="13">
    <w:abstractNumId w:val="8"/>
  </w:num>
  <w:num w:numId="14">
    <w:abstractNumId w:val="4"/>
  </w:num>
  <w:num w:numId="15">
    <w:abstractNumId w:val="13"/>
  </w:num>
  <w:num w:numId="16">
    <w:abstractNumId w:val="10"/>
  </w:num>
  <w:num w:numId="17">
    <w:abstractNumId w:val="0"/>
  </w:num>
  <w:num w:numId="18">
    <w:abstractNumId w:val="15"/>
  </w:num>
  <w:num w:numId="19">
    <w:abstractNumId w:val="11"/>
  </w:num>
  <w:num w:numId="20">
    <w:abstractNumId w:val="7"/>
  </w:num>
  <w:num w:numId="21">
    <w:abstractNumId w:val="5"/>
  </w:num>
  <w:num w:numId="22">
    <w:abstractNumId w:val="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C6"/>
    <w:rsid w:val="00000E54"/>
    <w:rsid w:val="000032B1"/>
    <w:rsid w:val="00003425"/>
    <w:rsid w:val="00004503"/>
    <w:rsid w:val="00010062"/>
    <w:rsid w:val="000107C3"/>
    <w:rsid w:val="00027CD2"/>
    <w:rsid w:val="00031509"/>
    <w:rsid w:val="000358AE"/>
    <w:rsid w:val="00045FAB"/>
    <w:rsid w:val="00051499"/>
    <w:rsid w:val="000607AC"/>
    <w:rsid w:val="00061E97"/>
    <w:rsid w:val="00065059"/>
    <w:rsid w:val="00066B4B"/>
    <w:rsid w:val="00076994"/>
    <w:rsid w:val="0008212D"/>
    <w:rsid w:val="00086CC8"/>
    <w:rsid w:val="000A2289"/>
    <w:rsid w:val="000B08C2"/>
    <w:rsid w:val="000B0B53"/>
    <w:rsid w:val="000B34A6"/>
    <w:rsid w:val="000B62E4"/>
    <w:rsid w:val="000C01C8"/>
    <w:rsid w:val="000C5E2A"/>
    <w:rsid w:val="000C73A9"/>
    <w:rsid w:val="000D05D4"/>
    <w:rsid w:val="000D2D62"/>
    <w:rsid w:val="000D5AB7"/>
    <w:rsid w:val="000E7425"/>
    <w:rsid w:val="000F6504"/>
    <w:rsid w:val="000F6BDA"/>
    <w:rsid w:val="000F79DB"/>
    <w:rsid w:val="001018A1"/>
    <w:rsid w:val="001018E0"/>
    <w:rsid w:val="00105B25"/>
    <w:rsid w:val="00106EA4"/>
    <w:rsid w:val="00110F90"/>
    <w:rsid w:val="00117131"/>
    <w:rsid w:val="00121C59"/>
    <w:rsid w:val="00123CCD"/>
    <w:rsid w:val="00125A9C"/>
    <w:rsid w:val="00140323"/>
    <w:rsid w:val="00141DCB"/>
    <w:rsid w:val="00143B72"/>
    <w:rsid w:val="00144FE5"/>
    <w:rsid w:val="001457BA"/>
    <w:rsid w:val="00145FFC"/>
    <w:rsid w:val="001472CB"/>
    <w:rsid w:val="00170258"/>
    <w:rsid w:val="001710D0"/>
    <w:rsid w:val="001729F1"/>
    <w:rsid w:val="00176957"/>
    <w:rsid w:val="001801BE"/>
    <w:rsid w:val="001859B3"/>
    <w:rsid w:val="00193650"/>
    <w:rsid w:val="0019602B"/>
    <w:rsid w:val="001A40EC"/>
    <w:rsid w:val="001A6133"/>
    <w:rsid w:val="001A6CEC"/>
    <w:rsid w:val="001B58C5"/>
    <w:rsid w:val="001B5A49"/>
    <w:rsid w:val="001B73E1"/>
    <w:rsid w:val="001B7482"/>
    <w:rsid w:val="001C350B"/>
    <w:rsid w:val="001C5595"/>
    <w:rsid w:val="001C79CE"/>
    <w:rsid w:val="001D245D"/>
    <w:rsid w:val="001D3970"/>
    <w:rsid w:val="001D6F34"/>
    <w:rsid w:val="001D6F44"/>
    <w:rsid w:val="001E1BB4"/>
    <w:rsid w:val="001E293A"/>
    <w:rsid w:val="001E3452"/>
    <w:rsid w:val="001E413A"/>
    <w:rsid w:val="001F09AC"/>
    <w:rsid w:val="001F5174"/>
    <w:rsid w:val="00201A00"/>
    <w:rsid w:val="002041E4"/>
    <w:rsid w:val="002046FA"/>
    <w:rsid w:val="00204CA8"/>
    <w:rsid w:val="00207324"/>
    <w:rsid w:val="00207418"/>
    <w:rsid w:val="00212AAC"/>
    <w:rsid w:val="00214C35"/>
    <w:rsid w:val="0021698F"/>
    <w:rsid w:val="00224E55"/>
    <w:rsid w:val="00230021"/>
    <w:rsid w:val="002314E6"/>
    <w:rsid w:val="002360BF"/>
    <w:rsid w:val="0024111D"/>
    <w:rsid w:val="002477F5"/>
    <w:rsid w:val="002515D6"/>
    <w:rsid w:val="00252F8C"/>
    <w:rsid w:val="00256FA6"/>
    <w:rsid w:val="002605F6"/>
    <w:rsid w:val="00260B44"/>
    <w:rsid w:val="00261439"/>
    <w:rsid w:val="00262188"/>
    <w:rsid w:val="00263050"/>
    <w:rsid w:val="002632D0"/>
    <w:rsid w:val="002634AC"/>
    <w:rsid w:val="00263525"/>
    <w:rsid w:val="00264D7A"/>
    <w:rsid w:val="002730C7"/>
    <w:rsid w:val="00280E30"/>
    <w:rsid w:val="002824A7"/>
    <w:rsid w:val="00282BDC"/>
    <w:rsid w:val="00284ED5"/>
    <w:rsid w:val="00286EAD"/>
    <w:rsid w:val="00292FE0"/>
    <w:rsid w:val="002977C7"/>
    <w:rsid w:val="002A3E6A"/>
    <w:rsid w:val="002A4282"/>
    <w:rsid w:val="002B1A2A"/>
    <w:rsid w:val="002B569E"/>
    <w:rsid w:val="002C0802"/>
    <w:rsid w:val="002C4E57"/>
    <w:rsid w:val="002C60EE"/>
    <w:rsid w:val="002D0A26"/>
    <w:rsid w:val="002D0D97"/>
    <w:rsid w:val="002D3A3E"/>
    <w:rsid w:val="002D6E60"/>
    <w:rsid w:val="002F3560"/>
    <w:rsid w:val="002F376D"/>
    <w:rsid w:val="002F5DAD"/>
    <w:rsid w:val="002F7644"/>
    <w:rsid w:val="00300325"/>
    <w:rsid w:val="0030160F"/>
    <w:rsid w:val="0030495E"/>
    <w:rsid w:val="00305B62"/>
    <w:rsid w:val="003068C2"/>
    <w:rsid w:val="00314281"/>
    <w:rsid w:val="00315E70"/>
    <w:rsid w:val="003220F5"/>
    <w:rsid w:val="00323503"/>
    <w:rsid w:val="00336D8A"/>
    <w:rsid w:val="00340BD4"/>
    <w:rsid w:val="00345663"/>
    <w:rsid w:val="003503CB"/>
    <w:rsid w:val="003523E2"/>
    <w:rsid w:val="00355046"/>
    <w:rsid w:val="003566BF"/>
    <w:rsid w:val="003571ED"/>
    <w:rsid w:val="00362C5B"/>
    <w:rsid w:val="003663AF"/>
    <w:rsid w:val="00366D1F"/>
    <w:rsid w:val="00372637"/>
    <w:rsid w:val="00372F24"/>
    <w:rsid w:val="00373C4A"/>
    <w:rsid w:val="00376BC4"/>
    <w:rsid w:val="0037749C"/>
    <w:rsid w:val="00377D40"/>
    <w:rsid w:val="003802C7"/>
    <w:rsid w:val="00384F73"/>
    <w:rsid w:val="0038555B"/>
    <w:rsid w:val="00390CD5"/>
    <w:rsid w:val="00391179"/>
    <w:rsid w:val="003A0CC5"/>
    <w:rsid w:val="003B07B8"/>
    <w:rsid w:val="003B1AD1"/>
    <w:rsid w:val="003B2F49"/>
    <w:rsid w:val="003B757A"/>
    <w:rsid w:val="003C2B94"/>
    <w:rsid w:val="003D5ACA"/>
    <w:rsid w:val="003E219B"/>
    <w:rsid w:val="003E7EC6"/>
    <w:rsid w:val="003F0C65"/>
    <w:rsid w:val="003F30B2"/>
    <w:rsid w:val="003F531F"/>
    <w:rsid w:val="003F71DA"/>
    <w:rsid w:val="004041C6"/>
    <w:rsid w:val="0040622C"/>
    <w:rsid w:val="00407081"/>
    <w:rsid w:val="00413774"/>
    <w:rsid w:val="00415379"/>
    <w:rsid w:val="00416311"/>
    <w:rsid w:val="00421983"/>
    <w:rsid w:val="00422094"/>
    <w:rsid w:val="004231A9"/>
    <w:rsid w:val="00423E7B"/>
    <w:rsid w:val="00433170"/>
    <w:rsid w:val="00436B27"/>
    <w:rsid w:val="004451BB"/>
    <w:rsid w:val="00445A27"/>
    <w:rsid w:val="0044667B"/>
    <w:rsid w:val="00451322"/>
    <w:rsid w:val="00470A01"/>
    <w:rsid w:val="00470BE0"/>
    <w:rsid w:val="00477EFB"/>
    <w:rsid w:val="004853B8"/>
    <w:rsid w:val="004855E0"/>
    <w:rsid w:val="00486230"/>
    <w:rsid w:val="004870BF"/>
    <w:rsid w:val="004877C6"/>
    <w:rsid w:val="004879B3"/>
    <w:rsid w:val="00487B96"/>
    <w:rsid w:val="00494E09"/>
    <w:rsid w:val="004A65FF"/>
    <w:rsid w:val="004A7268"/>
    <w:rsid w:val="004B514B"/>
    <w:rsid w:val="004C1DE2"/>
    <w:rsid w:val="004C2283"/>
    <w:rsid w:val="004C4085"/>
    <w:rsid w:val="004D110A"/>
    <w:rsid w:val="004D47B7"/>
    <w:rsid w:val="004D60CF"/>
    <w:rsid w:val="004E15E3"/>
    <w:rsid w:val="004E3CFA"/>
    <w:rsid w:val="004F2D36"/>
    <w:rsid w:val="004F6D3E"/>
    <w:rsid w:val="004F739B"/>
    <w:rsid w:val="00501D99"/>
    <w:rsid w:val="00505243"/>
    <w:rsid w:val="00510422"/>
    <w:rsid w:val="00513689"/>
    <w:rsid w:val="00513A6C"/>
    <w:rsid w:val="005170A6"/>
    <w:rsid w:val="005172D2"/>
    <w:rsid w:val="00517EAC"/>
    <w:rsid w:val="005213E0"/>
    <w:rsid w:val="00535FCC"/>
    <w:rsid w:val="00546A12"/>
    <w:rsid w:val="00551ED7"/>
    <w:rsid w:val="00562CE3"/>
    <w:rsid w:val="0056769B"/>
    <w:rsid w:val="005700E6"/>
    <w:rsid w:val="00574EE1"/>
    <w:rsid w:val="005912B2"/>
    <w:rsid w:val="00591C53"/>
    <w:rsid w:val="005921FB"/>
    <w:rsid w:val="00596265"/>
    <w:rsid w:val="0059683C"/>
    <w:rsid w:val="005976C6"/>
    <w:rsid w:val="005A2464"/>
    <w:rsid w:val="005A43E3"/>
    <w:rsid w:val="005A642E"/>
    <w:rsid w:val="005A7791"/>
    <w:rsid w:val="005B547C"/>
    <w:rsid w:val="005C79DF"/>
    <w:rsid w:val="005D0601"/>
    <w:rsid w:val="005D4969"/>
    <w:rsid w:val="005D79FE"/>
    <w:rsid w:val="005E68B4"/>
    <w:rsid w:val="005E6EAE"/>
    <w:rsid w:val="005F1953"/>
    <w:rsid w:val="00600F0B"/>
    <w:rsid w:val="006016FE"/>
    <w:rsid w:val="006045B7"/>
    <w:rsid w:val="00604C11"/>
    <w:rsid w:val="0060578D"/>
    <w:rsid w:val="00606BFC"/>
    <w:rsid w:val="00610DAC"/>
    <w:rsid w:val="006165AA"/>
    <w:rsid w:val="00616C78"/>
    <w:rsid w:val="006175B6"/>
    <w:rsid w:val="00620222"/>
    <w:rsid w:val="00620ABB"/>
    <w:rsid w:val="00622C92"/>
    <w:rsid w:val="00624D63"/>
    <w:rsid w:val="00632E30"/>
    <w:rsid w:val="00634BDC"/>
    <w:rsid w:val="006356AE"/>
    <w:rsid w:val="00636798"/>
    <w:rsid w:val="00644340"/>
    <w:rsid w:val="00644E53"/>
    <w:rsid w:val="00652FB5"/>
    <w:rsid w:val="00653205"/>
    <w:rsid w:val="0065755A"/>
    <w:rsid w:val="00660B1F"/>
    <w:rsid w:val="00661125"/>
    <w:rsid w:val="006627B8"/>
    <w:rsid w:val="00670C46"/>
    <w:rsid w:val="00670E08"/>
    <w:rsid w:val="006712A6"/>
    <w:rsid w:val="00673618"/>
    <w:rsid w:val="0067607A"/>
    <w:rsid w:val="006769EE"/>
    <w:rsid w:val="00677C52"/>
    <w:rsid w:val="00686CD8"/>
    <w:rsid w:val="00690FE6"/>
    <w:rsid w:val="00691FBC"/>
    <w:rsid w:val="006936EF"/>
    <w:rsid w:val="00694D09"/>
    <w:rsid w:val="00695EF1"/>
    <w:rsid w:val="006A21CF"/>
    <w:rsid w:val="006A3913"/>
    <w:rsid w:val="006A6907"/>
    <w:rsid w:val="006A75D4"/>
    <w:rsid w:val="006B2517"/>
    <w:rsid w:val="006B4945"/>
    <w:rsid w:val="006B72C7"/>
    <w:rsid w:val="006B771D"/>
    <w:rsid w:val="006C1355"/>
    <w:rsid w:val="006C15B1"/>
    <w:rsid w:val="006C41F7"/>
    <w:rsid w:val="006D4257"/>
    <w:rsid w:val="006E2475"/>
    <w:rsid w:val="006E7003"/>
    <w:rsid w:val="006E7408"/>
    <w:rsid w:val="006F67C5"/>
    <w:rsid w:val="00702BE8"/>
    <w:rsid w:val="00706F98"/>
    <w:rsid w:val="0072166D"/>
    <w:rsid w:val="00721921"/>
    <w:rsid w:val="007262DC"/>
    <w:rsid w:val="00733C63"/>
    <w:rsid w:val="00737764"/>
    <w:rsid w:val="00740030"/>
    <w:rsid w:val="00742E73"/>
    <w:rsid w:val="0075031C"/>
    <w:rsid w:val="007511D1"/>
    <w:rsid w:val="007523AD"/>
    <w:rsid w:val="007534AD"/>
    <w:rsid w:val="00756837"/>
    <w:rsid w:val="00757540"/>
    <w:rsid w:val="0077026A"/>
    <w:rsid w:val="00770AFB"/>
    <w:rsid w:val="00771E74"/>
    <w:rsid w:val="007740BC"/>
    <w:rsid w:val="0077410C"/>
    <w:rsid w:val="00776A25"/>
    <w:rsid w:val="00782E39"/>
    <w:rsid w:val="00785AED"/>
    <w:rsid w:val="00796181"/>
    <w:rsid w:val="007A6D3A"/>
    <w:rsid w:val="007B5A79"/>
    <w:rsid w:val="007B6FB1"/>
    <w:rsid w:val="007B7527"/>
    <w:rsid w:val="007C42B2"/>
    <w:rsid w:val="007C7984"/>
    <w:rsid w:val="007D4E32"/>
    <w:rsid w:val="008002B4"/>
    <w:rsid w:val="0080060C"/>
    <w:rsid w:val="00803D63"/>
    <w:rsid w:val="00805D45"/>
    <w:rsid w:val="00810042"/>
    <w:rsid w:val="00811DF9"/>
    <w:rsid w:val="00815F79"/>
    <w:rsid w:val="00822607"/>
    <w:rsid w:val="00823C30"/>
    <w:rsid w:val="00835BDF"/>
    <w:rsid w:val="00837034"/>
    <w:rsid w:val="008376A2"/>
    <w:rsid w:val="0084386B"/>
    <w:rsid w:val="00852B91"/>
    <w:rsid w:val="00852FF9"/>
    <w:rsid w:val="0085376E"/>
    <w:rsid w:val="00855CDC"/>
    <w:rsid w:val="00862497"/>
    <w:rsid w:val="0086745F"/>
    <w:rsid w:val="00871853"/>
    <w:rsid w:val="00874489"/>
    <w:rsid w:val="00876804"/>
    <w:rsid w:val="00881EA4"/>
    <w:rsid w:val="00882204"/>
    <w:rsid w:val="00887695"/>
    <w:rsid w:val="00890AAC"/>
    <w:rsid w:val="00892731"/>
    <w:rsid w:val="008A0148"/>
    <w:rsid w:val="008A0DFD"/>
    <w:rsid w:val="008A14D1"/>
    <w:rsid w:val="008B182E"/>
    <w:rsid w:val="008B1B92"/>
    <w:rsid w:val="008C0776"/>
    <w:rsid w:val="00904ADE"/>
    <w:rsid w:val="0090568E"/>
    <w:rsid w:val="00912B89"/>
    <w:rsid w:val="00914077"/>
    <w:rsid w:val="00921C4E"/>
    <w:rsid w:val="00922A7B"/>
    <w:rsid w:val="009474D9"/>
    <w:rsid w:val="00952564"/>
    <w:rsid w:val="00963240"/>
    <w:rsid w:val="009709E8"/>
    <w:rsid w:val="009809E2"/>
    <w:rsid w:val="00981CB8"/>
    <w:rsid w:val="0098451D"/>
    <w:rsid w:val="00990DE9"/>
    <w:rsid w:val="00991B20"/>
    <w:rsid w:val="009961AF"/>
    <w:rsid w:val="009A0A1D"/>
    <w:rsid w:val="009A1E3F"/>
    <w:rsid w:val="009A209D"/>
    <w:rsid w:val="009A3025"/>
    <w:rsid w:val="009B0E50"/>
    <w:rsid w:val="009B12B8"/>
    <w:rsid w:val="009C1F66"/>
    <w:rsid w:val="009D3B57"/>
    <w:rsid w:val="009D3BB4"/>
    <w:rsid w:val="009D471E"/>
    <w:rsid w:val="009D59D4"/>
    <w:rsid w:val="009D6DAA"/>
    <w:rsid w:val="009D7BA2"/>
    <w:rsid w:val="009E0D06"/>
    <w:rsid w:val="009E6965"/>
    <w:rsid w:val="009E7F7C"/>
    <w:rsid w:val="009F0460"/>
    <w:rsid w:val="009F15E7"/>
    <w:rsid w:val="00A00D6E"/>
    <w:rsid w:val="00A071EB"/>
    <w:rsid w:val="00A107C6"/>
    <w:rsid w:val="00A148C4"/>
    <w:rsid w:val="00A2494F"/>
    <w:rsid w:val="00A24A0C"/>
    <w:rsid w:val="00A36089"/>
    <w:rsid w:val="00A36849"/>
    <w:rsid w:val="00A36D11"/>
    <w:rsid w:val="00A43180"/>
    <w:rsid w:val="00A44156"/>
    <w:rsid w:val="00A5707F"/>
    <w:rsid w:val="00A62E21"/>
    <w:rsid w:val="00A65347"/>
    <w:rsid w:val="00A7021A"/>
    <w:rsid w:val="00A778DF"/>
    <w:rsid w:val="00A85565"/>
    <w:rsid w:val="00A939C1"/>
    <w:rsid w:val="00A94935"/>
    <w:rsid w:val="00AA0682"/>
    <w:rsid w:val="00AA08E4"/>
    <w:rsid w:val="00AB1803"/>
    <w:rsid w:val="00AB2A71"/>
    <w:rsid w:val="00AC4F81"/>
    <w:rsid w:val="00AC6FF3"/>
    <w:rsid w:val="00AD0BA4"/>
    <w:rsid w:val="00AE5534"/>
    <w:rsid w:val="00AE7A20"/>
    <w:rsid w:val="00AF591A"/>
    <w:rsid w:val="00AF7726"/>
    <w:rsid w:val="00AF7922"/>
    <w:rsid w:val="00B0141F"/>
    <w:rsid w:val="00B0404C"/>
    <w:rsid w:val="00B04CA5"/>
    <w:rsid w:val="00B117FD"/>
    <w:rsid w:val="00B15F00"/>
    <w:rsid w:val="00B1618B"/>
    <w:rsid w:val="00B1653B"/>
    <w:rsid w:val="00B16C24"/>
    <w:rsid w:val="00B22F71"/>
    <w:rsid w:val="00B302F6"/>
    <w:rsid w:val="00B31573"/>
    <w:rsid w:val="00B33F3E"/>
    <w:rsid w:val="00B35215"/>
    <w:rsid w:val="00B359F1"/>
    <w:rsid w:val="00B42AEE"/>
    <w:rsid w:val="00B468D8"/>
    <w:rsid w:val="00B50F1C"/>
    <w:rsid w:val="00B522BA"/>
    <w:rsid w:val="00B55F32"/>
    <w:rsid w:val="00B56894"/>
    <w:rsid w:val="00B62F12"/>
    <w:rsid w:val="00B656DF"/>
    <w:rsid w:val="00B775D4"/>
    <w:rsid w:val="00B8244E"/>
    <w:rsid w:val="00B82E64"/>
    <w:rsid w:val="00B85DE0"/>
    <w:rsid w:val="00B915F6"/>
    <w:rsid w:val="00B94A08"/>
    <w:rsid w:val="00BA1977"/>
    <w:rsid w:val="00BA2E59"/>
    <w:rsid w:val="00BB5B98"/>
    <w:rsid w:val="00BB6F24"/>
    <w:rsid w:val="00BC0E23"/>
    <w:rsid w:val="00BC11EF"/>
    <w:rsid w:val="00BC359E"/>
    <w:rsid w:val="00BD2286"/>
    <w:rsid w:val="00BD50EA"/>
    <w:rsid w:val="00BE04C4"/>
    <w:rsid w:val="00BE08FE"/>
    <w:rsid w:val="00BE4D38"/>
    <w:rsid w:val="00BF0447"/>
    <w:rsid w:val="00BF4C05"/>
    <w:rsid w:val="00C04385"/>
    <w:rsid w:val="00C04B82"/>
    <w:rsid w:val="00C14455"/>
    <w:rsid w:val="00C41C7D"/>
    <w:rsid w:val="00C5059B"/>
    <w:rsid w:val="00C50BE5"/>
    <w:rsid w:val="00C51535"/>
    <w:rsid w:val="00C557DB"/>
    <w:rsid w:val="00C578A7"/>
    <w:rsid w:val="00C7160C"/>
    <w:rsid w:val="00C750FB"/>
    <w:rsid w:val="00C753B8"/>
    <w:rsid w:val="00C771E8"/>
    <w:rsid w:val="00C817D2"/>
    <w:rsid w:val="00C823AE"/>
    <w:rsid w:val="00C91166"/>
    <w:rsid w:val="00C923C7"/>
    <w:rsid w:val="00C95D06"/>
    <w:rsid w:val="00C96F75"/>
    <w:rsid w:val="00CA50DA"/>
    <w:rsid w:val="00CA7271"/>
    <w:rsid w:val="00CB00DD"/>
    <w:rsid w:val="00CB2AA5"/>
    <w:rsid w:val="00CB3EE8"/>
    <w:rsid w:val="00CB55B4"/>
    <w:rsid w:val="00CB60F0"/>
    <w:rsid w:val="00CC308A"/>
    <w:rsid w:val="00CC605B"/>
    <w:rsid w:val="00CC698D"/>
    <w:rsid w:val="00CC6F9F"/>
    <w:rsid w:val="00CD01D2"/>
    <w:rsid w:val="00CD01F1"/>
    <w:rsid w:val="00CD6684"/>
    <w:rsid w:val="00CE391C"/>
    <w:rsid w:val="00CE5CA6"/>
    <w:rsid w:val="00CE6AD2"/>
    <w:rsid w:val="00CF3682"/>
    <w:rsid w:val="00CF6E70"/>
    <w:rsid w:val="00D10B4D"/>
    <w:rsid w:val="00D1164B"/>
    <w:rsid w:val="00D21209"/>
    <w:rsid w:val="00D24A83"/>
    <w:rsid w:val="00D2643D"/>
    <w:rsid w:val="00D308B0"/>
    <w:rsid w:val="00D30B8B"/>
    <w:rsid w:val="00D33B90"/>
    <w:rsid w:val="00D34256"/>
    <w:rsid w:val="00D346DB"/>
    <w:rsid w:val="00D36F35"/>
    <w:rsid w:val="00D459C5"/>
    <w:rsid w:val="00D509F7"/>
    <w:rsid w:val="00D51B92"/>
    <w:rsid w:val="00D55A18"/>
    <w:rsid w:val="00D56E4E"/>
    <w:rsid w:val="00D57903"/>
    <w:rsid w:val="00D611FA"/>
    <w:rsid w:val="00D635E6"/>
    <w:rsid w:val="00D72B34"/>
    <w:rsid w:val="00D74630"/>
    <w:rsid w:val="00D76E4A"/>
    <w:rsid w:val="00D77CED"/>
    <w:rsid w:val="00D9072F"/>
    <w:rsid w:val="00D92F0B"/>
    <w:rsid w:val="00D94B0B"/>
    <w:rsid w:val="00D95D38"/>
    <w:rsid w:val="00D96142"/>
    <w:rsid w:val="00DA0520"/>
    <w:rsid w:val="00DA4CF8"/>
    <w:rsid w:val="00DA682E"/>
    <w:rsid w:val="00DB0355"/>
    <w:rsid w:val="00DC2387"/>
    <w:rsid w:val="00DC3491"/>
    <w:rsid w:val="00DC4E27"/>
    <w:rsid w:val="00DD2125"/>
    <w:rsid w:val="00DE1608"/>
    <w:rsid w:val="00DE65DC"/>
    <w:rsid w:val="00DE6EF2"/>
    <w:rsid w:val="00DE7AFB"/>
    <w:rsid w:val="00DF3003"/>
    <w:rsid w:val="00DF5C87"/>
    <w:rsid w:val="00DF5EEC"/>
    <w:rsid w:val="00DF702F"/>
    <w:rsid w:val="00E023C9"/>
    <w:rsid w:val="00E062D7"/>
    <w:rsid w:val="00E10972"/>
    <w:rsid w:val="00E14A0F"/>
    <w:rsid w:val="00E21012"/>
    <w:rsid w:val="00E22ED5"/>
    <w:rsid w:val="00E24BFC"/>
    <w:rsid w:val="00E2744A"/>
    <w:rsid w:val="00E32C89"/>
    <w:rsid w:val="00E3700F"/>
    <w:rsid w:val="00E42134"/>
    <w:rsid w:val="00E431C7"/>
    <w:rsid w:val="00E459CB"/>
    <w:rsid w:val="00E46054"/>
    <w:rsid w:val="00E4681D"/>
    <w:rsid w:val="00E542BE"/>
    <w:rsid w:val="00E6626F"/>
    <w:rsid w:val="00E67FCC"/>
    <w:rsid w:val="00E80AA5"/>
    <w:rsid w:val="00E85B99"/>
    <w:rsid w:val="00E94F80"/>
    <w:rsid w:val="00EA2281"/>
    <w:rsid w:val="00EA2AE0"/>
    <w:rsid w:val="00EB0B94"/>
    <w:rsid w:val="00EC4F07"/>
    <w:rsid w:val="00ED0627"/>
    <w:rsid w:val="00ED15C4"/>
    <w:rsid w:val="00EE0185"/>
    <w:rsid w:val="00EE2E90"/>
    <w:rsid w:val="00EE494A"/>
    <w:rsid w:val="00EE4974"/>
    <w:rsid w:val="00EE5F00"/>
    <w:rsid w:val="00EE7599"/>
    <w:rsid w:val="00F00729"/>
    <w:rsid w:val="00F10DED"/>
    <w:rsid w:val="00F133F8"/>
    <w:rsid w:val="00F13A57"/>
    <w:rsid w:val="00F16C13"/>
    <w:rsid w:val="00F2047D"/>
    <w:rsid w:val="00F232F0"/>
    <w:rsid w:val="00F24D97"/>
    <w:rsid w:val="00F268A0"/>
    <w:rsid w:val="00F27D41"/>
    <w:rsid w:val="00F31503"/>
    <w:rsid w:val="00F33A6A"/>
    <w:rsid w:val="00F35C70"/>
    <w:rsid w:val="00F456CD"/>
    <w:rsid w:val="00F63B89"/>
    <w:rsid w:val="00F6667B"/>
    <w:rsid w:val="00F67E15"/>
    <w:rsid w:val="00F74E7E"/>
    <w:rsid w:val="00F765DD"/>
    <w:rsid w:val="00F81334"/>
    <w:rsid w:val="00F8284A"/>
    <w:rsid w:val="00F830CA"/>
    <w:rsid w:val="00F862E0"/>
    <w:rsid w:val="00FA1D24"/>
    <w:rsid w:val="00FA2375"/>
    <w:rsid w:val="00FB1822"/>
    <w:rsid w:val="00FC1690"/>
    <w:rsid w:val="00FC21CF"/>
    <w:rsid w:val="00FC28C1"/>
    <w:rsid w:val="00FC4AF9"/>
    <w:rsid w:val="00FC546A"/>
    <w:rsid w:val="00FC66FA"/>
    <w:rsid w:val="00FD3103"/>
    <w:rsid w:val="00FD770A"/>
    <w:rsid w:val="00FE2FF0"/>
    <w:rsid w:val="00FE36A0"/>
    <w:rsid w:val="00FE781A"/>
    <w:rsid w:val="00FF3C10"/>
    <w:rsid w:val="00FF5244"/>
    <w:rsid w:val="00FF57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0D7C66E"/>
  <w15:docId w15:val="{849ABACC-E098-4754-B9A6-13FD6A4E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Univers" w:hAnsi="Univers" w:cs="Arial"/>
    </w:rPr>
  </w:style>
  <w:style w:type="paragraph" w:styleId="Titre1">
    <w:name w:val="heading 1"/>
    <w:basedOn w:val="Normal"/>
    <w:next w:val="Normal"/>
    <w:qFormat/>
    <w:pPr>
      <w:keepNext/>
      <w:spacing w:after="240"/>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rPr>
      <w:b/>
      <w:sz w:val="16"/>
    </w:rPr>
  </w:style>
  <w:style w:type="paragraph" w:styleId="Explorateurdedocuments">
    <w:name w:val="Document Map"/>
    <w:basedOn w:val="Normal"/>
    <w:semiHidden/>
    <w:pPr>
      <w:shd w:val="clear" w:color="auto" w:fill="000080"/>
    </w:pPr>
    <w:rPr>
      <w:rFonts w:ascii="Tahoma" w:hAnsi="Tahoma" w:cs="Tahoma"/>
    </w:rPr>
  </w:style>
  <w:style w:type="character" w:styleId="Accentuation">
    <w:name w:val="Emphasis"/>
    <w:basedOn w:val="Policepardfaut"/>
    <w:qFormat/>
    <w:rsid w:val="00E459CB"/>
    <w:rPr>
      <w:b/>
      <w:bCs/>
      <w:i w:val="0"/>
      <w:iCs w:val="0"/>
    </w:r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rsid w:val="0030160F"/>
  </w:style>
  <w:style w:type="character" w:styleId="Lienhypertexte">
    <w:name w:val="Hyperlink"/>
    <w:uiPriority w:val="99"/>
    <w:unhideWhenUsed/>
    <w:rsid w:val="00E4681D"/>
    <w:rPr>
      <w:color w:val="0000FF"/>
      <w:u w:val="single"/>
    </w:rPr>
  </w:style>
  <w:style w:type="character" w:customStyle="1" w:styleId="PieddepageCar">
    <w:name w:val="Pied de page Car"/>
    <w:basedOn w:val="Policepardfaut"/>
    <w:link w:val="Pieddepage"/>
    <w:uiPriority w:val="99"/>
    <w:rsid w:val="00292FE0"/>
    <w:rPr>
      <w:rFonts w:ascii="Univers" w:hAnsi="Univers" w:cs="Arial"/>
      <w:b/>
      <w:sz w:val="16"/>
    </w:rPr>
  </w:style>
  <w:style w:type="paragraph" w:styleId="Paragraphedeliste">
    <w:name w:val="List Paragraph"/>
    <w:basedOn w:val="Normal"/>
    <w:uiPriority w:val="34"/>
    <w:qFormat/>
    <w:rsid w:val="000032B1"/>
    <w:pPr>
      <w:ind w:left="720"/>
      <w:contextualSpacing/>
    </w:pPr>
  </w:style>
  <w:style w:type="paragraph" w:customStyle="1" w:styleId="Dtailarticles">
    <w:name w:val="Détail articles"/>
    <w:link w:val="DtailarticlesCar"/>
    <w:rsid w:val="00F27D41"/>
    <w:pPr>
      <w:spacing w:line="240" w:lineRule="atLeast"/>
      <w:jc w:val="both"/>
    </w:pPr>
    <w:rPr>
      <w:rFonts w:ascii="Arial" w:hAnsi="Arial"/>
      <w:sz w:val="16"/>
    </w:rPr>
  </w:style>
  <w:style w:type="character" w:customStyle="1" w:styleId="DtailarticlesCar">
    <w:name w:val="Détail articles Car"/>
    <w:link w:val="Dtailarticles"/>
    <w:rsid w:val="00F27D41"/>
    <w:rPr>
      <w:rFonts w:ascii="Arial" w:hAnsi="Arial"/>
      <w:sz w:val="16"/>
    </w:rPr>
  </w:style>
  <w:style w:type="character" w:customStyle="1" w:styleId="hps">
    <w:name w:val="hps"/>
    <w:basedOn w:val="Policepardfaut"/>
    <w:rsid w:val="00230021"/>
  </w:style>
  <w:style w:type="table" w:styleId="TableauGrille1Clair-Accentuation1">
    <w:name w:val="Grid Table 1 Light Accent 1"/>
    <w:basedOn w:val="TableauNormal"/>
    <w:uiPriority w:val="46"/>
    <w:rsid w:val="00B468D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1D245D"/>
    <w:pPr>
      <w:autoSpaceDE w:val="0"/>
      <w:autoSpaceDN w:val="0"/>
      <w:adjustRightInd w:val="0"/>
    </w:pPr>
    <w:rPr>
      <w:color w:val="000000"/>
      <w:sz w:val="24"/>
      <w:szCs w:val="24"/>
    </w:rPr>
  </w:style>
  <w:style w:type="paragraph" w:styleId="Notedebasdepage">
    <w:name w:val="footnote text"/>
    <w:basedOn w:val="Normal"/>
    <w:link w:val="NotedebasdepageCar"/>
    <w:semiHidden/>
    <w:unhideWhenUsed/>
    <w:rsid w:val="00415379"/>
    <w:pPr>
      <w:overflowPunct/>
      <w:autoSpaceDE/>
      <w:autoSpaceDN/>
      <w:adjustRightInd/>
      <w:textAlignment w:val="auto"/>
    </w:pPr>
    <w:rPr>
      <w:rFonts w:asciiTheme="minorHAnsi" w:eastAsiaTheme="minorHAnsi" w:hAnsiTheme="minorHAnsi" w:cstheme="minorBidi"/>
      <w:lang w:eastAsia="en-US"/>
    </w:rPr>
  </w:style>
  <w:style w:type="character" w:customStyle="1" w:styleId="NotedebasdepageCar">
    <w:name w:val="Note de bas de page Car"/>
    <w:basedOn w:val="Policepardfaut"/>
    <w:link w:val="Notedebasdepage"/>
    <w:semiHidden/>
    <w:rsid w:val="00415379"/>
    <w:rPr>
      <w:rFonts w:asciiTheme="minorHAnsi" w:eastAsiaTheme="minorHAnsi" w:hAnsiTheme="minorHAnsi" w:cstheme="minorBidi"/>
      <w:lang w:eastAsia="en-US"/>
    </w:rPr>
  </w:style>
  <w:style w:type="character" w:styleId="Appelnotedebasdep">
    <w:name w:val="footnote reference"/>
    <w:basedOn w:val="Policepardfaut"/>
    <w:semiHidden/>
    <w:unhideWhenUsed/>
    <w:rsid w:val="00415379"/>
    <w:rPr>
      <w:vertAlign w:val="superscript"/>
    </w:rPr>
  </w:style>
  <w:style w:type="paragraph" w:styleId="NormalWeb">
    <w:name w:val="Normal (Web)"/>
    <w:basedOn w:val="Normal"/>
    <w:uiPriority w:val="99"/>
    <w:semiHidden/>
    <w:unhideWhenUsed/>
    <w:rsid w:val="00D459C5"/>
    <w:pPr>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7450">
      <w:bodyDiv w:val="1"/>
      <w:marLeft w:val="0"/>
      <w:marRight w:val="0"/>
      <w:marTop w:val="0"/>
      <w:marBottom w:val="0"/>
      <w:divBdr>
        <w:top w:val="none" w:sz="0" w:space="0" w:color="auto"/>
        <w:left w:val="none" w:sz="0" w:space="0" w:color="auto"/>
        <w:bottom w:val="none" w:sz="0" w:space="0" w:color="auto"/>
        <w:right w:val="none" w:sz="0" w:space="0" w:color="auto"/>
      </w:divBdr>
    </w:div>
    <w:div w:id="352220942">
      <w:bodyDiv w:val="1"/>
      <w:marLeft w:val="0"/>
      <w:marRight w:val="0"/>
      <w:marTop w:val="0"/>
      <w:marBottom w:val="0"/>
      <w:divBdr>
        <w:top w:val="none" w:sz="0" w:space="0" w:color="auto"/>
        <w:left w:val="none" w:sz="0" w:space="0" w:color="auto"/>
        <w:bottom w:val="none" w:sz="0" w:space="0" w:color="auto"/>
        <w:right w:val="none" w:sz="0" w:space="0" w:color="auto"/>
      </w:divBdr>
    </w:div>
    <w:div w:id="412052303">
      <w:bodyDiv w:val="1"/>
      <w:marLeft w:val="0"/>
      <w:marRight w:val="0"/>
      <w:marTop w:val="0"/>
      <w:marBottom w:val="0"/>
      <w:divBdr>
        <w:top w:val="none" w:sz="0" w:space="0" w:color="auto"/>
        <w:left w:val="none" w:sz="0" w:space="0" w:color="auto"/>
        <w:bottom w:val="none" w:sz="0" w:space="0" w:color="auto"/>
        <w:right w:val="none" w:sz="0" w:space="0" w:color="auto"/>
      </w:divBdr>
      <w:divsChild>
        <w:div w:id="377822734">
          <w:marLeft w:val="0"/>
          <w:marRight w:val="0"/>
          <w:marTop w:val="0"/>
          <w:marBottom w:val="0"/>
          <w:divBdr>
            <w:top w:val="none" w:sz="0" w:space="0" w:color="auto"/>
            <w:left w:val="none" w:sz="0" w:space="0" w:color="auto"/>
            <w:bottom w:val="none" w:sz="0" w:space="0" w:color="auto"/>
            <w:right w:val="none" w:sz="0" w:space="0" w:color="auto"/>
          </w:divBdr>
        </w:div>
      </w:divsChild>
    </w:div>
    <w:div w:id="437256897">
      <w:bodyDiv w:val="1"/>
      <w:marLeft w:val="0"/>
      <w:marRight w:val="0"/>
      <w:marTop w:val="0"/>
      <w:marBottom w:val="0"/>
      <w:divBdr>
        <w:top w:val="none" w:sz="0" w:space="0" w:color="auto"/>
        <w:left w:val="none" w:sz="0" w:space="0" w:color="auto"/>
        <w:bottom w:val="none" w:sz="0" w:space="0" w:color="auto"/>
        <w:right w:val="none" w:sz="0" w:space="0" w:color="auto"/>
      </w:divBdr>
    </w:div>
    <w:div w:id="453982105">
      <w:bodyDiv w:val="1"/>
      <w:marLeft w:val="0"/>
      <w:marRight w:val="0"/>
      <w:marTop w:val="0"/>
      <w:marBottom w:val="0"/>
      <w:divBdr>
        <w:top w:val="none" w:sz="0" w:space="0" w:color="auto"/>
        <w:left w:val="none" w:sz="0" w:space="0" w:color="auto"/>
        <w:bottom w:val="none" w:sz="0" w:space="0" w:color="auto"/>
        <w:right w:val="none" w:sz="0" w:space="0" w:color="auto"/>
      </w:divBdr>
    </w:div>
    <w:div w:id="570048091">
      <w:bodyDiv w:val="1"/>
      <w:marLeft w:val="0"/>
      <w:marRight w:val="0"/>
      <w:marTop w:val="0"/>
      <w:marBottom w:val="0"/>
      <w:divBdr>
        <w:top w:val="none" w:sz="0" w:space="0" w:color="auto"/>
        <w:left w:val="none" w:sz="0" w:space="0" w:color="auto"/>
        <w:bottom w:val="none" w:sz="0" w:space="0" w:color="auto"/>
        <w:right w:val="none" w:sz="0" w:space="0" w:color="auto"/>
      </w:divBdr>
    </w:div>
    <w:div w:id="869951764">
      <w:bodyDiv w:val="1"/>
      <w:marLeft w:val="0"/>
      <w:marRight w:val="0"/>
      <w:marTop w:val="0"/>
      <w:marBottom w:val="0"/>
      <w:divBdr>
        <w:top w:val="none" w:sz="0" w:space="0" w:color="auto"/>
        <w:left w:val="none" w:sz="0" w:space="0" w:color="auto"/>
        <w:bottom w:val="none" w:sz="0" w:space="0" w:color="auto"/>
        <w:right w:val="none" w:sz="0" w:space="0" w:color="auto"/>
      </w:divBdr>
    </w:div>
    <w:div w:id="898520874">
      <w:bodyDiv w:val="1"/>
      <w:marLeft w:val="0"/>
      <w:marRight w:val="0"/>
      <w:marTop w:val="0"/>
      <w:marBottom w:val="0"/>
      <w:divBdr>
        <w:top w:val="none" w:sz="0" w:space="0" w:color="auto"/>
        <w:left w:val="none" w:sz="0" w:space="0" w:color="auto"/>
        <w:bottom w:val="none" w:sz="0" w:space="0" w:color="auto"/>
        <w:right w:val="none" w:sz="0" w:space="0" w:color="auto"/>
      </w:divBdr>
    </w:div>
    <w:div w:id="1063218138">
      <w:bodyDiv w:val="1"/>
      <w:marLeft w:val="0"/>
      <w:marRight w:val="0"/>
      <w:marTop w:val="0"/>
      <w:marBottom w:val="0"/>
      <w:divBdr>
        <w:top w:val="none" w:sz="0" w:space="0" w:color="auto"/>
        <w:left w:val="none" w:sz="0" w:space="0" w:color="auto"/>
        <w:bottom w:val="none" w:sz="0" w:space="0" w:color="auto"/>
        <w:right w:val="none" w:sz="0" w:space="0" w:color="auto"/>
      </w:divBdr>
      <w:divsChild>
        <w:div w:id="514420615">
          <w:marLeft w:val="0"/>
          <w:marRight w:val="0"/>
          <w:marTop w:val="0"/>
          <w:marBottom w:val="0"/>
          <w:divBdr>
            <w:top w:val="none" w:sz="0" w:space="0" w:color="auto"/>
            <w:left w:val="none" w:sz="0" w:space="0" w:color="auto"/>
            <w:bottom w:val="none" w:sz="0" w:space="0" w:color="auto"/>
            <w:right w:val="none" w:sz="0" w:space="0" w:color="auto"/>
          </w:divBdr>
          <w:divsChild>
            <w:div w:id="15937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381">
      <w:bodyDiv w:val="1"/>
      <w:marLeft w:val="0"/>
      <w:marRight w:val="0"/>
      <w:marTop w:val="0"/>
      <w:marBottom w:val="0"/>
      <w:divBdr>
        <w:top w:val="none" w:sz="0" w:space="0" w:color="auto"/>
        <w:left w:val="none" w:sz="0" w:space="0" w:color="auto"/>
        <w:bottom w:val="none" w:sz="0" w:space="0" w:color="auto"/>
        <w:right w:val="none" w:sz="0" w:space="0" w:color="auto"/>
      </w:divBdr>
    </w:div>
    <w:div w:id="15825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tresor.economie.gouv.fr/pays/finla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espace.dgtresor.gouv.fr/service/HEL/TRANSVERSAL/FINLANDE/Q.%20&#233;conomiques/Investissement%20Etranger/DATA1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espace.dgtresor.gouv.fr/service/HEL/TRANSVERSAL/FINLANDE/Q.%20&#233;conomiques/Investissement%20Etranger/DATA1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solidFill>
                <a:latin typeface="Arial" panose="020B0604020202020204" pitchFamily="34" charset="0"/>
                <a:ea typeface="+mn-ea"/>
                <a:cs typeface="Arial" panose="020B0604020202020204" pitchFamily="34" charset="0"/>
              </a:defRPr>
            </a:pPr>
            <a:r>
              <a:rPr lang="fr-FR" u="sng"/>
              <a:t>IDE entrants (stock, millions d'euros)</a:t>
            </a:r>
          </a:p>
        </c:rich>
      </c:tx>
      <c:layout/>
      <c:overlay val="0"/>
      <c:spPr>
        <a:noFill/>
        <a:ln>
          <a:noFill/>
        </a:ln>
        <a:effectLst/>
      </c:spPr>
      <c:txPr>
        <a:bodyPr rot="0" spcFirstLastPara="1" vertOverflow="ellipsis" vert="horz" wrap="square" anchor="ctr" anchorCtr="1"/>
        <a:lstStyle/>
        <a:p>
          <a:pPr>
            <a:defRPr sz="1080" b="0" i="0" u="none" strike="noStrike" kern="1200" spc="0" baseline="0">
              <a:solidFill>
                <a:schemeClr val="tx1"/>
              </a:solidFill>
              <a:latin typeface="Arial" panose="020B0604020202020204" pitchFamily="34" charset="0"/>
              <a:ea typeface="+mn-ea"/>
              <a:cs typeface="Arial" panose="020B0604020202020204" pitchFamily="34" charset="0"/>
            </a:defRPr>
          </a:pPr>
          <a:endParaRPr lang="fr-FR"/>
        </a:p>
      </c:txPr>
    </c:title>
    <c:autoTitleDeleted val="0"/>
    <c:plotArea>
      <c:layout>
        <c:manualLayout>
          <c:layoutTarget val="inner"/>
          <c:xMode val="edge"/>
          <c:yMode val="edge"/>
          <c:x val="0.11724759405074366"/>
          <c:y val="0.17171296296296296"/>
          <c:w val="0.63275240594925641"/>
          <c:h val="0.74403579760863225"/>
        </c:manualLayout>
      </c:layout>
      <c:barChart>
        <c:barDir val="col"/>
        <c:grouping val="stacked"/>
        <c:varyColors val="0"/>
        <c:ser>
          <c:idx val="0"/>
          <c:order val="0"/>
          <c:tx>
            <c:strRef>
              <c:f>[DATA16.xlsx]Total!$B$57</c:f>
              <c:strCache>
                <c:ptCount val="1"/>
                <c:pt idx="0">
                  <c:v>Suède</c:v>
                </c:pt>
              </c:strCache>
            </c:strRef>
          </c:tx>
          <c:spPr>
            <a:solidFill>
              <a:schemeClr val="accent1"/>
            </a:solidFill>
            <a:ln>
              <a:noFill/>
            </a:ln>
            <a:effectLst/>
          </c:spPr>
          <c:invertIfNegative val="0"/>
          <c:cat>
            <c:numRef>
              <c:f>[DATA16.xlsx]Total!$C$56:$F$56</c:f>
              <c:numCache>
                <c:formatCode>General</c:formatCode>
                <c:ptCount val="4"/>
                <c:pt idx="0">
                  <c:v>2013</c:v>
                </c:pt>
                <c:pt idx="1">
                  <c:v>2014</c:v>
                </c:pt>
                <c:pt idx="2">
                  <c:v>2015</c:v>
                </c:pt>
                <c:pt idx="3">
                  <c:v>2016</c:v>
                </c:pt>
              </c:numCache>
            </c:numRef>
          </c:cat>
          <c:val>
            <c:numRef>
              <c:f>[DATA16.xlsx]Total!$C$57:$F$57</c:f>
              <c:numCache>
                <c:formatCode>General</c:formatCode>
                <c:ptCount val="4"/>
                <c:pt idx="0">
                  <c:v>33222</c:v>
                </c:pt>
                <c:pt idx="1">
                  <c:v>32212</c:v>
                </c:pt>
                <c:pt idx="2">
                  <c:v>37056</c:v>
                </c:pt>
                <c:pt idx="3">
                  <c:v>35289</c:v>
                </c:pt>
              </c:numCache>
            </c:numRef>
          </c:val>
        </c:ser>
        <c:ser>
          <c:idx val="1"/>
          <c:order val="1"/>
          <c:tx>
            <c:strRef>
              <c:f>[DATA16.xlsx]Total!$B$58</c:f>
              <c:strCache>
                <c:ptCount val="1"/>
                <c:pt idx="0">
                  <c:v>Pays-Bas</c:v>
                </c:pt>
              </c:strCache>
            </c:strRef>
          </c:tx>
          <c:spPr>
            <a:solidFill>
              <a:schemeClr val="accent2"/>
            </a:solidFill>
            <a:ln>
              <a:noFill/>
            </a:ln>
            <a:effectLst/>
          </c:spPr>
          <c:invertIfNegative val="0"/>
          <c:cat>
            <c:numRef>
              <c:f>[DATA16.xlsx]Total!$C$56:$F$56</c:f>
              <c:numCache>
                <c:formatCode>General</c:formatCode>
                <c:ptCount val="4"/>
                <c:pt idx="0">
                  <c:v>2013</c:v>
                </c:pt>
                <c:pt idx="1">
                  <c:v>2014</c:v>
                </c:pt>
                <c:pt idx="2">
                  <c:v>2015</c:v>
                </c:pt>
                <c:pt idx="3">
                  <c:v>2016</c:v>
                </c:pt>
              </c:numCache>
            </c:numRef>
          </c:cat>
          <c:val>
            <c:numRef>
              <c:f>[DATA16.xlsx]Total!$C$58:$F$58</c:f>
              <c:numCache>
                <c:formatCode>General</c:formatCode>
                <c:ptCount val="4"/>
                <c:pt idx="0">
                  <c:v>9993</c:v>
                </c:pt>
                <c:pt idx="1">
                  <c:v>13751</c:v>
                </c:pt>
                <c:pt idx="2">
                  <c:v>13509</c:v>
                </c:pt>
                <c:pt idx="3">
                  <c:v>11916</c:v>
                </c:pt>
              </c:numCache>
            </c:numRef>
          </c:val>
        </c:ser>
        <c:ser>
          <c:idx val="2"/>
          <c:order val="2"/>
          <c:tx>
            <c:strRef>
              <c:f>[DATA16.xlsx]Total!$B$59</c:f>
              <c:strCache>
                <c:ptCount val="1"/>
                <c:pt idx="0">
                  <c:v>Luxembourg</c:v>
                </c:pt>
              </c:strCache>
            </c:strRef>
          </c:tx>
          <c:spPr>
            <a:solidFill>
              <a:schemeClr val="accent3"/>
            </a:solidFill>
            <a:ln>
              <a:noFill/>
            </a:ln>
            <a:effectLst/>
          </c:spPr>
          <c:invertIfNegative val="0"/>
          <c:cat>
            <c:numRef>
              <c:f>[DATA16.xlsx]Total!$C$56:$F$56</c:f>
              <c:numCache>
                <c:formatCode>General</c:formatCode>
                <c:ptCount val="4"/>
                <c:pt idx="0">
                  <c:v>2013</c:v>
                </c:pt>
                <c:pt idx="1">
                  <c:v>2014</c:v>
                </c:pt>
                <c:pt idx="2">
                  <c:v>2015</c:v>
                </c:pt>
                <c:pt idx="3">
                  <c:v>2016</c:v>
                </c:pt>
              </c:numCache>
            </c:numRef>
          </c:cat>
          <c:val>
            <c:numRef>
              <c:f>[DATA16.xlsx]Total!$C$59:$F$59</c:f>
              <c:numCache>
                <c:formatCode>General</c:formatCode>
                <c:ptCount val="4"/>
                <c:pt idx="0">
                  <c:v>3478</c:v>
                </c:pt>
                <c:pt idx="1">
                  <c:v>8390</c:v>
                </c:pt>
                <c:pt idx="2">
                  <c:v>788</c:v>
                </c:pt>
                <c:pt idx="3">
                  <c:v>7874</c:v>
                </c:pt>
              </c:numCache>
            </c:numRef>
          </c:val>
        </c:ser>
        <c:ser>
          <c:idx val="3"/>
          <c:order val="3"/>
          <c:tx>
            <c:strRef>
              <c:f>[DATA16.xlsx]Total!$B$60</c:f>
              <c:strCache>
                <c:ptCount val="1"/>
                <c:pt idx="0">
                  <c:v>Danemark</c:v>
                </c:pt>
              </c:strCache>
            </c:strRef>
          </c:tx>
          <c:spPr>
            <a:solidFill>
              <a:schemeClr val="accent4"/>
            </a:solidFill>
            <a:ln>
              <a:noFill/>
            </a:ln>
            <a:effectLst/>
          </c:spPr>
          <c:invertIfNegative val="0"/>
          <c:cat>
            <c:numRef>
              <c:f>[DATA16.xlsx]Total!$C$56:$F$56</c:f>
              <c:numCache>
                <c:formatCode>General</c:formatCode>
                <c:ptCount val="4"/>
                <c:pt idx="0">
                  <c:v>2013</c:v>
                </c:pt>
                <c:pt idx="1">
                  <c:v>2014</c:v>
                </c:pt>
                <c:pt idx="2">
                  <c:v>2015</c:v>
                </c:pt>
                <c:pt idx="3">
                  <c:v>2016</c:v>
                </c:pt>
              </c:numCache>
            </c:numRef>
          </c:cat>
          <c:val>
            <c:numRef>
              <c:f>[DATA16.xlsx]Total!$C$60:$F$60</c:f>
              <c:numCache>
                <c:formatCode>General</c:formatCode>
                <c:ptCount val="4"/>
                <c:pt idx="0">
                  <c:v>4482</c:v>
                </c:pt>
                <c:pt idx="1">
                  <c:v>4706</c:v>
                </c:pt>
                <c:pt idx="2">
                  <c:v>4761</c:v>
                </c:pt>
                <c:pt idx="3">
                  <c:v>5448</c:v>
                </c:pt>
              </c:numCache>
            </c:numRef>
          </c:val>
        </c:ser>
        <c:ser>
          <c:idx val="4"/>
          <c:order val="4"/>
          <c:tx>
            <c:strRef>
              <c:f>[DATA16.xlsx]Total!$B$61</c:f>
              <c:strCache>
                <c:ptCount val="1"/>
                <c:pt idx="0">
                  <c:v>Allemagne</c:v>
                </c:pt>
              </c:strCache>
            </c:strRef>
          </c:tx>
          <c:spPr>
            <a:solidFill>
              <a:schemeClr val="accent5"/>
            </a:solidFill>
            <a:ln>
              <a:noFill/>
            </a:ln>
            <a:effectLst/>
          </c:spPr>
          <c:invertIfNegative val="0"/>
          <c:cat>
            <c:numRef>
              <c:f>[DATA16.xlsx]Total!$C$56:$F$56</c:f>
              <c:numCache>
                <c:formatCode>General</c:formatCode>
                <c:ptCount val="4"/>
                <c:pt idx="0">
                  <c:v>2013</c:v>
                </c:pt>
                <c:pt idx="1">
                  <c:v>2014</c:v>
                </c:pt>
                <c:pt idx="2">
                  <c:v>2015</c:v>
                </c:pt>
                <c:pt idx="3">
                  <c:v>2016</c:v>
                </c:pt>
              </c:numCache>
            </c:numRef>
          </c:cat>
          <c:val>
            <c:numRef>
              <c:f>[DATA16.xlsx]Total!$C$61:$F$61</c:f>
              <c:numCache>
                <c:formatCode>General</c:formatCode>
                <c:ptCount val="4"/>
                <c:pt idx="0">
                  <c:v>2553</c:v>
                </c:pt>
                <c:pt idx="1">
                  <c:v>2691</c:v>
                </c:pt>
                <c:pt idx="2">
                  <c:v>3381</c:v>
                </c:pt>
                <c:pt idx="3">
                  <c:v>3303</c:v>
                </c:pt>
              </c:numCache>
            </c:numRef>
          </c:val>
        </c:ser>
        <c:ser>
          <c:idx val="5"/>
          <c:order val="5"/>
          <c:tx>
            <c:strRef>
              <c:f>[DATA16.xlsx]Total!$B$62</c:f>
              <c:strCache>
                <c:ptCount val="1"/>
                <c:pt idx="0">
                  <c:v>Etats-Unis</c:v>
                </c:pt>
              </c:strCache>
            </c:strRef>
          </c:tx>
          <c:spPr>
            <a:solidFill>
              <a:schemeClr val="accent6"/>
            </a:solidFill>
            <a:ln>
              <a:noFill/>
            </a:ln>
            <a:effectLst/>
          </c:spPr>
          <c:invertIfNegative val="0"/>
          <c:cat>
            <c:numRef>
              <c:f>[DATA16.xlsx]Total!$C$56:$F$56</c:f>
              <c:numCache>
                <c:formatCode>General</c:formatCode>
                <c:ptCount val="4"/>
                <c:pt idx="0">
                  <c:v>2013</c:v>
                </c:pt>
                <c:pt idx="1">
                  <c:v>2014</c:v>
                </c:pt>
                <c:pt idx="2">
                  <c:v>2015</c:v>
                </c:pt>
                <c:pt idx="3">
                  <c:v>2016</c:v>
                </c:pt>
              </c:numCache>
            </c:numRef>
          </c:cat>
          <c:val>
            <c:numRef>
              <c:f>[DATA16.xlsx]Total!$C$62:$F$62</c:f>
              <c:numCache>
                <c:formatCode>General</c:formatCode>
                <c:ptCount val="4"/>
                <c:pt idx="0">
                  <c:v>970</c:v>
                </c:pt>
                <c:pt idx="1">
                  <c:v>1087</c:v>
                </c:pt>
                <c:pt idx="2">
                  <c:v>1364</c:v>
                </c:pt>
                <c:pt idx="3">
                  <c:v>1348</c:v>
                </c:pt>
              </c:numCache>
            </c:numRef>
          </c:val>
        </c:ser>
        <c:ser>
          <c:idx val="6"/>
          <c:order val="6"/>
          <c:tx>
            <c:strRef>
              <c:f>[DATA16.xlsx]Total!$B$63</c:f>
              <c:strCache>
                <c:ptCount val="1"/>
                <c:pt idx="0">
                  <c:v>France</c:v>
                </c:pt>
              </c:strCache>
            </c:strRef>
          </c:tx>
          <c:spPr>
            <a:solidFill>
              <a:schemeClr val="accent1">
                <a:lumMod val="60000"/>
              </a:schemeClr>
            </a:solidFill>
            <a:ln>
              <a:noFill/>
            </a:ln>
            <a:effectLst/>
          </c:spPr>
          <c:invertIfNegative val="0"/>
          <c:cat>
            <c:numRef>
              <c:f>[DATA16.xlsx]Total!$C$56:$F$56</c:f>
              <c:numCache>
                <c:formatCode>General</c:formatCode>
                <c:ptCount val="4"/>
                <c:pt idx="0">
                  <c:v>2013</c:v>
                </c:pt>
                <c:pt idx="1">
                  <c:v>2014</c:v>
                </c:pt>
                <c:pt idx="2">
                  <c:v>2015</c:v>
                </c:pt>
                <c:pt idx="3">
                  <c:v>2016</c:v>
                </c:pt>
              </c:numCache>
            </c:numRef>
          </c:cat>
          <c:val>
            <c:numRef>
              <c:f>[DATA16.xlsx]Total!$C$63:$F$63</c:f>
              <c:numCache>
                <c:formatCode>General</c:formatCode>
                <c:ptCount val="4"/>
                <c:pt idx="0">
                  <c:v>715</c:v>
                </c:pt>
                <c:pt idx="1">
                  <c:v>760</c:v>
                </c:pt>
                <c:pt idx="2">
                  <c:v>1189</c:v>
                </c:pt>
                <c:pt idx="3">
                  <c:v>1132</c:v>
                </c:pt>
              </c:numCache>
            </c:numRef>
          </c:val>
        </c:ser>
        <c:ser>
          <c:idx val="7"/>
          <c:order val="7"/>
          <c:tx>
            <c:strRef>
              <c:f>[DATA16.xlsx]Total!$B$64</c:f>
              <c:strCache>
                <c:ptCount val="1"/>
                <c:pt idx="0">
                  <c:v>Royaume-Uni</c:v>
                </c:pt>
              </c:strCache>
            </c:strRef>
          </c:tx>
          <c:spPr>
            <a:solidFill>
              <a:schemeClr val="accent2">
                <a:lumMod val="60000"/>
              </a:schemeClr>
            </a:solidFill>
            <a:ln>
              <a:noFill/>
            </a:ln>
            <a:effectLst/>
          </c:spPr>
          <c:invertIfNegative val="0"/>
          <c:cat>
            <c:numRef>
              <c:f>[DATA16.xlsx]Total!$C$56:$F$56</c:f>
              <c:numCache>
                <c:formatCode>General</c:formatCode>
                <c:ptCount val="4"/>
                <c:pt idx="0">
                  <c:v>2013</c:v>
                </c:pt>
                <c:pt idx="1">
                  <c:v>2014</c:v>
                </c:pt>
                <c:pt idx="2">
                  <c:v>2015</c:v>
                </c:pt>
                <c:pt idx="3">
                  <c:v>2016</c:v>
                </c:pt>
              </c:numCache>
            </c:numRef>
          </c:cat>
          <c:val>
            <c:numRef>
              <c:f>[DATA16.xlsx]Total!$C$64:$F$64</c:f>
              <c:numCache>
                <c:formatCode>General</c:formatCode>
                <c:ptCount val="4"/>
                <c:pt idx="0">
                  <c:v>1673</c:v>
                </c:pt>
                <c:pt idx="1">
                  <c:v>3042</c:v>
                </c:pt>
                <c:pt idx="2">
                  <c:v>3030</c:v>
                </c:pt>
                <c:pt idx="3">
                  <c:v>1073</c:v>
                </c:pt>
              </c:numCache>
            </c:numRef>
          </c:val>
        </c:ser>
        <c:ser>
          <c:idx val="8"/>
          <c:order val="8"/>
          <c:tx>
            <c:strRef>
              <c:f>[DATA16.xlsx]Total!$B$65</c:f>
              <c:strCache>
                <c:ptCount val="1"/>
                <c:pt idx="0">
                  <c:v>Irlande</c:v>
                </c:pt>
              </c:strCache>
            </c:strRef>
          </c:tx>
          <c:spPr>
            <a:solidFill>
              <a:schemeClr val="accent3">
                <a:lumMod val="60000"/>
              </a:schemeClr>
            </a:solidFill>
            <a:ln>
              <a:noFill/>
            </a:ln>
            <a:effectLst/>
          </c:spPr>
          <c:invertIfNegative val="0"/>
          <c:cat>
            <c:numRef>
              <c:f>[DATA16.xlsx]Total!$C$56:$F$56</c:f>
              <c:numCache>
                <c:formatCode>General</c:formatCode>
                <c:ptCount val="4"/>
                <c:pt idx="0">
                  <c:v>2013</c:v>
                </c:pt>
                <c:pt idx="1">
                  <c:v>2014</c:v>
                </c:pt>
                <c:pt idx="2">
                  <c:v>2015</c:v>
                </c:pt>
                <c:pt idx="3">
                  <c:v>2016</c:v>
                </c:pt>
              </c:numCache>
            </c:numRef>
          </c:cat>
          <c:val>
            <c:numRef>
              <c:f>[DATA16.xlsx]Total!$C$65:$F$65</c:f>
            </c:numRef>
          </c:val>
        </c:ser>
        <c:ser>
          <c:idx val="9"/>
          <c:order val="9"/>
          <c:tx>
            <c:strRef>
              <c:f>[DATA16.xlsx]Total!$B$66</c:f>
              <c:strCache>
                <c:ptCount val="1"/>
                <c:pt idx="0">
                  <c:v>Japon</c:v>
                </c:pt>
              </c:strCache>
            </c:strRef>
          </c:tx>
          <c:spPr>
            <a:solidFill>
              <a:schemeClr val="accent4">
                <a:lumMod val="60000"/>
              </a:schemeClr>
            </a:solidFill>
            <a:ln>
              <a:noFill/>
            </a:ln>
            <a:effectLst/>
          </c:spPr>
          <c:invertIfNegative val="0"/>
          <c:cat>
            <c:numRef>
              <c:f>[DATA16.xlsx]Total!$C$56:$F$56</c:f>
              <c:numCache>
                <c:formatCode>General</c:formatCode>
                <c:ptCount val="4"/>
                <c:pt idx="0">
                  <c:v>2013</c:v>
                </c:pt>
                <c:pt idx="1">
                  <c:v>2014</c:v>
                </c:pt>
                <c:pt idx="2">
                  <c:v>2015</c:v>
                </c:pt>
                <c:pt idx="3">
                  <c:v>2016</c:v>
                </c:pt>
              </c:numCache>
            </c:numRef>
          </c:cat>
          <c:val>
            <c:numRef>
              <c:f>[DATA16.xlsx]Total!$C$66:$F$66</c:f>
              <c:numCache>
                <c:formatCode>General</c:formatCode>
                <c:ptCount val="4"/>
                <c:pt idx="0">
                  <c:v>645</c:v>
                </c:pt>
                <c:pt idx="1">
                  <c:v>1158</c:v>
                </c:pt>
                <c:pt idx="2">
                  <c:v>1233</c:v>
                </c:pt>
                <c:pt idx="3">
                  <c:v>994</c:v>
                </c:pt>
              </c:numCache>
            </c:numRef>
          </c:val>
        </c:ser>
        <c:ser>
          <c:idx val="10"/>
          <c:order val="10"/>
          <c:tx>
            <c:strRef>
              <c:f>[DATA16.xlsx]Total!$B$67</c:f>
              <c:strCache>
                <c:ptCount val="1"/>
                <c:pt idx="0">
                  <c:v>Russie</c:v>
                </c:pt>
              </c:strCache>
            </c:strRef>
          </c:tx>
          <c:spPr>
            <a:solidFill>
              <a:schemeClr val="accent5">
                <a:lumMod val="60000"/>
              </a:schemeClr>
            </a:solidFill>
            <a:ln>
              <a:noFill/>
            </a:ln>
            <a:effectLst/>
          </c:spPr>
          <c:invertIfNegative val="0"/>
          <c:cat>
            <c:numRef>
              <c:f>[DATA16.xlsx]Total!$C$56:$F$56</c:f>
              <c:numCache>
                <c:formatCode>General</c:formatCode>
                <c:ptCount val="4"/>
                <c:pt idx="0">
                  <c:v>2013</c:v>
                </c:pt>
                <c:pt idx="1">
                  <c:v>2014</c:v>
                </c:pt>
                <c:pt idx="2">
                  <c:v>2015</c:v>
                </c:pt>
                <c:pt idx="3">
                  <c:v>2016</c:v>
                </c:pt>
              </c:numCache>
            </c:numRef>
          </c:cat>
          <c:val>
            <c:numRef>
              <c:f>[DATA16.xlsx]Total!$C$67:$F$67</c:f>
              <c:numCache>
                <c:formatCode>General</c:formatCode>
                <c:ptCount val="4"/>
                <c:pt idx="0">
                  <c:v>913</c:v>
                </c:pt>
                <c:pt idx="1">
                  <c:v>1185</c:v>
                </c:pt>
                <c:pt idx="2">
                  <c:v>830</c:v>
                </c:pt>
                <c:pt idx="3">
                  <c:v>986</c:v>
                </c:pt>
              </c:numCache>
            </c:numRef>
          </c:val>
        </c:ser>
        <c:ser>
          <c:idx val="11"/>
          <c:order val="11"/>
          <c:tx>
            <c:strRef>
              <c:f>[DATA16.xlsx]Total!$B$68</c:f>
              <c:strCache>
                <c:ptCount val="1"/>
                <c:pt idx="0">
                  <c:v>Autres</c:v>
                </c:pt>
              </c:strCache>
            </c:strRef>
          </c:tx>
          <c:spPr>
            <a:solidFill>
              <a:schemeClr val="accent6">
                <a:lumMod val="60000"/>
              </a:schemeClr>
            </a:solidFill>
            <a:ln>
              <a:noFill/>
            </a:ln>
            <a:effectLst/>
          </c:spPr>
          <c:invertIfNegative val="0"/>
          <c:cat>
            <c:numRef>
              <c:f>[DATA16.xlsx]Total!$C$56:$F$56</c:f>
              <c:numCache>
                <c:formatCode>General</c:formatCode>
                <c:ptCount val="4"/>
                <c:pt idx="0">
                  <c:v>2013</c:v>
                </c:pt>
                <c:pt idx="1">
                  <c:v>2014</c:v>
                </c:pt>
                <c:pt idx="2">
                  <c:v>2015</c:v>
                </c:pt>
                <c:pt idx="3">
                  <c:v>2016</c:v>
                </c:pt>
              </c:numCache>
            </c:numRef>
          </c:cat>
          <c:val>
            <c:numRef>
              <c:f>[DATA16.xlsx]Total!$C$68:$F$68</c:f>
              <c:numCache>
                <c:formatCode>General</c:formatCode>
                <c:ptCount val="4"/>
                <c:pt idx="0">
                  <c:v>5188</c:v>
                </c:pt>
                <c:pt idx="1">
                  <c:v>5905</c:v>
                </c:pt>
                <c:pt idx="2">
                  <c:v>6763</c:v>
                </c:pt>
                <c:pt idx="3">
                  <c:v>6173</c:v>
                </c:pt>
              </c:numCache>
            </c:numRef>
          </c:val>
        </c:ser>
        <c:dLbls>
          <c:showLegendKey val="0"/>
          <c:showVal val="0"/>
          <c:showCatName val="0"/>
          <c:showSerName val="0"/>
          <c:showPercent val="0"/>
          <c:showBubbleSize val="0"/>
        </c:dLbls>
        <c:gapWidth val="150"/>
        <c:overlap val="100"/>
        <c:axId val="291110696"/>
        <c:axId val="290642440"/>
      </c:barChart>
      <c:lineChart>
        <c:grouping val="stacked"/>
        <c:varyColors val="0"/>
        <c:ser>
          <c:idx val="12"/>
          <c:order val="12"/>
          <c:tx>
            <c:strRef>
              <c:f>[DATA16.xlsx]Total!$B$69</c:f>
              <c:strCache>
                <c:ptCount val="1"/>
                <c:pt idx="0">
                  <c:v>Total</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numRef>
              <c:f>[DATA16.xlsx]Total!$C$56:$F$56</c:f>
              <c:numCache>
                <c:formatCode>General</c:formatCode>
                <c:ptCount val="4"/>
                <c:pt idx="0">
                  <c:v>2013</c:v>
                </c:pt>
                <c:pt idx="1">
                  <c:v>2014</c:v>
                </c:pt>
                <c:pt idx="2">
                  <c:v>2015</c:v>
                </c:pt>
                <c:pt idx="3">
                  <c:v>2016</c:v>
                </c:pt>
              </c:numCache>
            </c:numRef>
          </c:cat>
          <c:val>
            <c:numRef>
              <c:f>[DATA16.xlsx]Total!$C$69:$F$69</c:f>
              <c:numCache>
                <c:formatCode>General</c:formatCode>
                <c:ptCount val="4"/>
                <c:pt idx="0">
                  <c:v>64394</c:v>
                </c:pt>
                <c:pt idx="1">
                  <c:v>75753</c:v>
                </c:pt>
                <c:pt idx="2">
                  <c:v>74974</c:v>
                </c:pt>
                <c:pt idx="3">
                  <c:v>76591</c:v>
                </c:pt>
              </c:numCache>
            </c:numRef>
          </c:val>
          <c:smooth val="0"/>
        </c:ser>
        <c:dLbls>
          <c:showLegendKey val="0"/>
          <c:showVal val="0"/>
          <c:showCatName val="0"/>
          <c:showSerName val="0"/>
          <c:showPercent val="0"/>
          <c:showBubbleSize val="0"/>
        </c:dLbls>
        <c:marker val="1"/>
        <c:smooth val="0"/>
        <c:axId val="291110696"/>
        <c:axId val="290642440"/>
      </c:lineChart>
      <c:catAx>
        <c:axId val="291110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fr-FR"/>
          </a:p>
        </c:txPr>
        <c:crossAx val="290642440"/>
        <c:crosses val="autoZero"/>
        <c:auto val="1"/>
        <c:lblAlgn val="ctr"/>
        <c:lblOffset val="100"/>
        <c:noMultiLvlLbl val="0"/>
      </c:catAx>
      <c:valAx>
        <c:axId val="290642440"/>
        <c:scaling>
          <c:orientation val="minMax"/>
          <c:max val="800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fr-FR"/>
          </a:p>
        </c:txPr>
        <c:crossAx val="291110696"/>
        <c:crosses val="autoZero"/>
        <c:crossBetween val="between"/>
      </c:valAx>
      <c:spPr>
        <a:noFill/>
        <a:ln>
          <a:noFill/>
        </a:ln>
        <a:effectLst/>
      </c:spPr>
    </c:plotArea>
    <c:legend>
      <c:legendPos val="b"/>
      <c:layout>
        <c:manualLayout>
          <c:xMode val="edge"/>
          <c:yMode val="edge"/>
          <c:x val="0.73540682414698166"/>
          <c:y val="0.14293826908000137"/>
          <c:w val="0.2486307961504812"/>
          <c:h val="0.820024788568095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chart>
  <c:spPr>
    <a:solidFill>
      <a:schemeClr val="bg1"/>
    </a:solidFill>
    <a:ln w="9525" cap="flat" cmpd="sng" algn="ctr">
      <a:solidFill>
        <a:schemeClr val="tx1"/>
      </a:solid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solidFill>
                <a:latin typeface="Arial" panose="020B0604020202020204" pitchFamily="34" charset="0"/>
                <a:ea typeface="+mn-ea"/>
                <a:cs typeface="Arial" panose="020B0604020202020204" pitchFamily="34" charset="0"/>
              </a:defRPr>
            </a:pPr>
            <a:r>
              <a:rPr lang="fr-FR" u="sng"/>
              <a:t>IDE sortants (stock, millions d'euros)</a:t>
            </a:r>
          </a:p>
        </c:rich>
      </c:tx>
      <c:layout/>
      <c:overlay val="0"/>
      <c:spPr>
        <a:noFill/>
        <a:ln>
          <a:noFill/>
        </a:ln>
        <a:effectLst/>
      </c:spPr>
      <c:txPr>
        <a:bodyPr rot="0" spcFirstLastPara="1" vertOverflow="ellipsis" vert="horz" wrap="square" anchor="ctr" anchorCtr="1"/>
        <a:lstStyle/>
        <a:p>
          <a:pPr>
            <a:defRPr sz="1080" b="0" i="0" u="none" strike="noStrike" kern="1200" spc="0" baseline="0">
              <a:solidFill>
                <a:schemeClr val="tx1"/>
              </a:solidFill>
              <a:latin typeface="Arial" panose="020B0604020202020204" pitchFamily="34" charset="0"/>
              <a:ea typeface="+mn-ea"/>
              <a:cs typeface="Arial" panose="020B0604020202020204" pitchFamily="34" charset="0"/>
            </a:defRPr>
          </a:pPr>
          <a:endParaRPr lang="fr-FR"/>
        </a:p>
      </c:txPr>
    </c:title>
    <c:autoTitleDeleted val="0"/>
    <c:plotArea>
      <c:layout>
        <c:manualLayout>
          <c:layoutTarget val="inner"/>
          <c:xMode val="edge"/>
          <c:yMode val="edge"/>
          <c:x val="0.11724759405074366"/>
          <c:y val="0.17171296296296296"/>
          <c:w val="0.59844431173851265"/>
          <c:h val="0.74403579760863225"/>
        </c:manualLayout>
      </c:layout>
      <c:barChart>
        <c:barDir val="col"/>
        <c:grouping val="stacked"/>
        <c:varyColors val="0"/>
        <c:ser>
          <c:idx val="1"/>
          <c:order val="1"/>
          <c:tx>
            <c:strRef>
              <c:f>[DATA16.xlsx]Stock!$B$5</c:f>
              <c:strCache>
                <c:ptCount val="1"/>
                <c:pt idx="0">
                  <c:v>Suède</c:v>
                </c:pt>
              </c:strCache>
            </c:strRef>
          </c:tx>
          <c:spPr>
            <a:solidFill>
              <a:schemeClr val="accent2"/>
            </a:solidFill>
            <a:ln>
              <a:noFill/>
            </a:ln>
            <a:effectLst/>
          </c:spPr>
          <c:invertIfNegative val="0"/>
          <c:cat>
            <c:strRef>
              <c:f>[DATA16.xlsx]Stock!$C$3:$F$3</c:f>
              <c:strCache>
                <c:ptCount val="4"/>
                <c:pt idx="0">
                  <c:v>2013</c:v>
                </c:pt>
                <c:pt idx="1">
                  <c:v>2014</c:v>
                </c:pt>
                <c:pt idx="2">
                  <c:v>2015</c:v>
                </c:pt>
                <c:pt idx="3">
                  <c:v>2016</c:v>
                </c:pt>
              </c:strCache>
            </c:strRef>
          </c:cat>
          <c:val>
            <c:numRef>
              <c:f>[DATA16.xlsx]Stock!$C$5:$F$5</c:f>
              <c:numCache>
                <c:formatCode>General</c:formatCode>
                <c:ptCount val="4"/>
                <c:pt idx="0">
                  <c:v>33057</c:v>
                </c:pt>
                <c:pt idx="1">
                  <c:v>30425</c:v>
                </c:pt>
                <c:pt idx="2">
                  <c:v>28930</c:v>
                </c:pt>
                <c:pt idx="3">
                  <c:v>28247</c:v>
                </c:pt>
              </c:numCache>
            </c:numRef>
          </c:val>
        </c:ser>
        <c:ser>
          <c:idx val="2"/>
          <c:order val="2"/>
          <c:tx>
            <c:strRef>
              <c:f>[DATA16.xlsx]Stock!$B$6</c:f>
              <c:strCache>
                <c:ptCount val="1"/>
                <c:pt idx="0">
                  <c:v>Pays-Bas</c:v>
                </c:pt>
              </c:strCache>
            </c:strRef>
          </c:tx>
          <c:spPr>
            <a:solidFill>
              <a:schemeClr val="accent3"/>
            </a:solidFill>
            <a:ln>
              <a:noFill/>
            </a:ln>
            <a:effectLst/>
          </c:spPr>
          <c:invertIfNegative val="0"/>
          <c:cat>
            <c:strRef>
              <c:f>[DATA16.xlsx]Stock!$C$3:$F$3</c:f>
              <c:strCache>
                <c:ptCount val="4"/>
                <c:pt idx="0">
                  <c:v>2013</c:v>
                </c:pt>
                <c:pt idx="1">
                  <c:v>2014</c:v>
                </c:pt>
                <c:pt idx="2">
                  <c:v>2015</c:v>
                </c:pt>
                <c:pt idx="3">
                  <c:v>2016</c:v>
                </c:pt>
              </c:strCache>
            </c:strRef>
          </c:cat>
          <c:val>
            <c:numRef>
              <c:f>[DATA16.xlsx]Stock!$C$6:$F$6</c:f>
              <c:numCache>
                <c:formatCode>General</c:formatCode>
                <c:ptCount val="4"/>
                <c:pt idx="0">
                  <c:v>16190</c:v>
                </c:pt>
                <c:pt idx="1">
                  <c:v>18381</c:v>
                </c:pt>
                <c:pt idx="2">
                  <c:v>12781</c:v>
                </c:pt>
                <c:pt idx="3">
                  <c:v>18267</c:v>
                </c:pt>
              </c:numCache>
            </c:numRef>
          </c:val>
        </c:ser>
        <c:ser>
          <c:idx val="3"/>
          <c:order val="3"/>
          <c:tx>
            <c:strRef>
              <c:f>[DATA16.xlsx]Stock!$B$7</c:f>
              <c:strCache>
                <c:ptCount val="1"/>
                <c:pt idx="0">
                  <c:v>France</c:v>
                </c:pt>
              </c:strCache>
            </c:strRef>
          </c:tx>
          <c:spPr>
            <a:solidFill>
              <a:schemeClr val="accent4"/>
            </a:solidFill>
            <a:ln>
              <a:noFill/>
            </a:ln>
            <a:effectLst/>
          </c:spPr>
          <c:invertIfNegative val="0"/>
          <c:cat>
            <c:strRef>
              <c:f>[DATA16.xlsx]Stock!$C$3:$F$3</c:f>
              <c:strCache>
                <c:ptCount val="4"/>
                <c:pt idx="0">
                  <c:v>2013</c:v>
                </c:pt>
                <c:pt idx="1">
                  <c:v>2014</c:v>
                </c:pt>
                <c:pt idx="2">
                  <c:v>2015</c:v>
                </c:pt>
                <c:pt idx="3">
                  <c:v>2016</c:v>
                </c:pt>
              </c:strCache>
            </c:strRef>
          </c:cat>
          <c:val>
            <c:numRef>
              <c:f>[DATA16.xlsx]Stock!$C$7:$F$7</c:f>
              <c:numCache>
                <c:formatCode>General</c:formatCode>
                <c:ptCount val="4"/>
                <c:pt idx="0">
                  <c:v>798</c:v>
                </c:pt>
                <c:pt idx="1">
                  <c:v>1368</c:v>
                </c:pt>
                <c:pt idx="2">
                  <c:v>1558</c:v>
                </c:pt>
                <c:pt idx="3">
                  <c:v>13955</c:v>
                </c:pt>
              </c:numCache>
            </c:numRef>
          </c:val>
        </c:ser>
        <c:ser>
          <c:idx val="4"/>
          <c:order val="4"/>
          <c:tx>
            <c:strRef>
              <c:f>[DATA16.xlsx]Stock!$B$8</c:f>
              <c:strCache>
                <c:ptCount val="1"/>
                <c:pt idx="0">
                  <c:v>Etats-Unis</c:v>
                </c:pt>
              </c:strCache>
            </c:strRef>
          </c:tx>
          <c:spPr>
            <a:solidFill>
              <a:schemeClr val="accent5"/>
            </a:solidFill>
            <a:ln>
              <a:noFill/>
            </a:ln>
            <a:effectLst/>
          </c:spPr>
          <c:invertIfNegative val="0"/>
          <c:cat>
            <c:strRef>
              <c:f>[DATA16.xlsx]Stock!$C$3:$F$3</c:f>
              <c:strCache>
                <c:ptCount val="4"/>
                <c:pt idx="0">
                  <c:v>2013</c:v>
                </c:pt>
                <c:pt idx="1">
                  <c:v>2014</c:v>
                </c:pt>
                <c:pt idx="2">
                  <c:v>2015</c:v>
                </c:pt>
                <c:pt idx="3">
                  <c:v>2016</c:v>
                </c:pt>
              </c:strCache>
            </c:strRef>
          </c:cat>
          <c:val>
            <c:numRef>
              <c:f>[DATA16.xlsx]Stock!$C$8:$F$8</c:f>
              <c:numCache>
                <c:formatCode>General</c:formatCode>
                <c:ptCount val="4"/>
                <c:pt idx="0">
                  <c:v>8801</c:v>
                </c:pt>
                <c:pt idx="1">
                  <c:v>5938</c:v>
                </c:pt>
                <c:pt idx="2">
                  <c:v>7633</c:v>
                </c:pt>
                <c:pt idx="3">
                  <c:v>6690</c:v>
                </c:pt>
              </c:numCache>
            </c:numRef>
          </c:val>
        </c:ser>
        <c:ser>
          <c:idx val="5"/>
          <c:order val="5"/>
          <c:tx>
            <c:strRef>
              <c:f>[DATA16.xlsx]Stock!$B$9</c:f>
              <c:strCache>
                <c:ptCount val="1"/>
                <c:pt idx="0">
                  <c:v>Belgique</c:v>
                </c:pt>
              </c:strCache>
            </c:strRef>
          </c:tx>
          <c:spPr>
            <a:solidFill>
              <a:schemeClr val="accent6"/>
            </a:solidFill>
            <a:ln>
              <a:noFill/>
            </a:ln>
            <a:effectLst/>
          </c:spPr>
          <c:invertIfNegative val="0"/>
          <c:cat>
            <c:strRef>
              <c:f>[DATA16.xlsx]Stock!$C$3:$F$3</c:f>
              <c:strCache>
                <c:ptCount val="4"/>
                <c:pt idx="0">
                  <c:v>2013</c:v>
                </c:pt>
                <c:pt idx="1">
                  <c:v>2014</c:v>
                </c:pt>
                <c:pt idx="2">
                  <c:v>2015</c:v>
                </c:pt>
                <c:pt idx="3">
                  <c:v>2016</c:v>
                </c:pt>
              </c:strCache>
            </c:strRef>
          </c:cat>
          <c:val>
            <c:numRef>
              <c:f>[DATA16.xlsx]Stock!$C$9:$F$9</c:f>
              <c:numCache>
                <c:formatCode>General</c:formatCode>
                <c:ptCount val="4"/>
                <c:pt idx="0">
                  <c:v>7741</c:v>
                </c:pt>
                <c:pt idx="1">
                  <c:v>5252</c:v>
                </c:pt>
                <c:pt idx="2">
                  <c:v>2976</c:v>
                </c:pt>
                <c:pt idx="3">
                  <c:v>3179</c:v>
                </c:pt>
              </c:numCache>
            </c:numRef>
          </c:val>
        </c:ser>
        <c:ser>
          <c:idx val="6"/>
          <c:order val="6"/>
          <c:tx>
            <c:strRef>
              <c:f>[DATA16.xlsx]Stock!$B$10</c:f>
              <c:strCache>
                <c:ptCount val="1"/>
                <c:pt idx="0">
                  <c:v>Russie</c:v>
                </c:pt>
              </c:strCache>
            </c:strRef>
          </c:tx>
          <c:spPr>
            <a:solidFill>
              <a:schemeClr val="accent1">
                <a:lumMod val="60000"/>
              </a:schemeClr>
            </a:solidFill>
            <a:ln>
              <a:noFill/>
            </a:ln>
            <a:effectLst/>
          </c:spPr>
          <c:invertIfNegative val="0"/>
          <c:cat>
            <c:strRef>
              <c:f>[DATA16.xlsx]Stock!$C$3:$F$3</c:f>
              <c:strCache>
                <c:ptCount val="4"/>
                <c:pt idx="0">
                  <c:v>2013</c:v>
                </c:pt>
                <c:pt idx="1">
                  <c:v>2014</c:v>
                </c:pt>
                <c:pt idx="2">
                  <c:v>2015</c:v>
                </c:pt>
                <c:pt idx="3">
                  <c:v>2016</c:v>
                </c:pt>
              </c:strCache>
            </c:strRef>
          </c:cat>
          <c:val>
            <c:numRef>
              <c:f>[DATA16.xlsx]Stock!$C$10:$F$10</c:f>
              <c:numCache>
                <c:formatCode>General</c:formatCode>
                <c:ptCount val="4"/>
                <c:pt idx="0">
                  <c:v>2818</c:v>
                </c:pt>
                <c:pt idx="1">
                  <c:v>2185</c:v>
                </c:pt>
                <c:pt idx="2">
                  <c:v>2110</c:v>
                </c:pt>
                <c:pt idx="3">
                  <c:v>2738</c:v>
                </c:pt>
              </c:numCache>
            </c:numRef>
          </c:val>
        </c:ser>
        <c:ser>
          <c:idx val="7"/>
          <c:order val="7"/>
          <c:tx>
            <c:strRef>
              <c:f>[DATA16.xlsx]Stock!$B$11</c:f>
              <c:strCache>
                <c:ptCount val="1"/>
                <c:pt idx="0">
                  <c:v>Luxembourg</c:v>
                </c:pt>
              </c:strCache>
            </c:strRef>
          </c:tx>
          <c:spPr>
            <a:solidFill>
              <a:schemeClr val="accent2">
                <a:lumMod val="60000"/>
              </a:schemeClr>
            </a:solidFill>
            <a:ln>
              <a:noFill/>
            </a:ln>
            <a:effectLst/>
          </c:spPr>
          <c:invertIfNegative val="0"/>
          <c:cat>
            <c:strRef>
              <c:f>[DATA16.xlsx]Stock!$C$3:$F$3</c:f>
              <c:strCache>
                <c:ptCount val="4"/>
                <c:pt idx="0">
                  <c:v>2013</c:v>
                </c:pt>
                <c:pt idx="1">
                  <c:v>2014</c:v>
                </c:pt>
                <c:pt idx="2">
                  <c:v>2015</c:v>
                </c:pt>
                <c:pt idx="3">
                  <c:v>2016</c:v>
                </c:pt>
              </c:strCache>
            </c:strRef>
          </c:cat>
          <c:val>
            <c:numRef>
              <c:f>[DATA16.xlsx]Stock!$C$11:$F$11</c:f>
              <c:numCache>
                <c:formatCode>General</c:formatCode>
                <c:ptCount val="4"/>
                <c:pt idx="0">
                  <c:v>2795</c:v>
                </c:pt>
                <c:pt idx="1">
                  <c:v>2736</c:v>
                </c:pt>
                <c:pt idx="2">
                  <c:v>1491</c:v>
                </c:pt>
                <c:pt idx="3">
                  <c:v>2550</c:v>
                </c:pt>
              </c:numCache>
            </c:numRef>
          </c:val>
        </c:ser>
        <c:ser>
          <c:idx val="8"/>
          <c:order val="8"/>
          <c:tx>
            <c:strRef>
              <c:f>[DATA16.xlsx]Stock!$B$12</c:f>
              <c:strCache>
                <c:ptCount val="1"/>
                <c:pt idx="0">
                  <c:v>Norvège</c:v>
                </c:pt>
              </c:strCache>
            </c:strRef>
          </c:tx>
          <c:spPr>
            <a:solidFill>
              <a:schemeClr val="accent3">
                <a:lumMod val="60000"/>
              </a:schemeClr>
            </a:solidFill>
            <a:ln>
              <a:noFill/>
            </a:ln>
            <a:effectLst/>
          </c:spPr>
          <c:invertIfNegative val="0"/>
          <c:cat>
            <c:strRef>
              <c:f>[DATA16.xlsx]Stock!$C$3:$F$3</c:f>
              <c:strCache>
                <c:ptCount val="4"/>
                <c:pt idx="0">
                  <c:v>2013</c:v>
                </c:pt>
                <c:pt idx="1">
                  <c:v>2014</c:v>
                </c:pt>
                <c:pt idx="2">
                  <c:v>2015</c:v>
                </c:pt>
                <c:pt idx="3">
                  <c:v>2016</c:v>
                </c:pt>
              </c:strCache>
            </c:strRef>
          </c:cat>
          <c:val>
            <c:numRef>
              <c:f>[DATA16.xlsx]Stock!$C$12:$F$12</c:f>
              <c:numCache>
                <c:formatCode>General</c:formatCode>
                <c:ptCount val="4"/>
                <c:pt idx="0">
                  <c:v>1023</c:v>
                </c:pt>
                <c:pt idx="1">
                  <c:v>1129</c:v>
                </c:pt>
                <c:pt idx="2">
                  <c:v>2213</c:v>
                </c:pt>
                <c:pt idx="3">
                  <c:v>2327</c:v>
                </c:pt>
              </c:numCache>
            </c:numRef>
          </c:val>
        </c:ser>
        <c:ser>
          <c:idx val="9"/>
          <c:order val="9"/>
          <c:tx>
            <c:strRef>
              <c:f>[DATA16.xlsx]Stock!$B$13</c:f>
              <c:strCache>
                <c:ptCount val="1"/>
                <c:pt idx="0">
                  <c:v>Allemagne</c:v>
                </c:pt>
              </c:strCache>
            </c:strRef>
          </c:tx>
          <c:spPr>
            <a:solidFill>
              <a:schemeClr val="accent4">
                <a:lumMod val="60000"/>
              </a:schemeClr>
            </a:solidFill>
            <a:ln>
              <a:noFill/>
            </a:ln>
            <a:effectLst/>
          </c:spPr>
          <c:invertIfNegative val="0"/>
          <c:cat>
            <c:strRef>
              <c:f>[DATA16.xlsx]Stock!$C$3:$F$3</c:f>
              <c:strCache>
                <c:ptCount val="4"/>
                <c:pt idx="0">
                  <c:v>2013</c:v>
                </c:pt>
                <c:pt idx="1">
                  <c:v>2014</c:v>
                </c:pt>
                <c:pt idx="2">
                  <c:v>2015</c:v>
                </c:pt>
                <c:pt idx="3">
                  <c:v>2016</c:v>
                </c:pt>
              </c:strCache>
            </c:strRef>
          </c:cat>
          <c:val>
            <c:numRef>
              <c:f>[DATA16.xlsx]Stock!$C$13:$F$13</c:f>
              <c:numCache>
                <c:formatCode>General</c:formatCode>
                <c:ptCount val="4"/>
                <c:pt idx="0">
                  <c:v>4012</c:v>
                </c:pt>
                <c:pt idx="1">
                  <c:v>1421</c:v>
                </c:pt>
                <c:pt idx="2">
                  <c:v>1903</c:v>
                </c:pt>
                <c:pt idx="3">
                  <c:v>2041</c:v>
                </c:pt>
              </c:numCache>
            </c:numRef>
          </c:val>
        </c:ser>
        <c:ser>
          <c:idx val="10"/>
          <c:order val="10"/>
          <c:tx>
            <c:strRef>
              <c:f>[DATA16.xlsx]Stock!$B$14</c:f>
              <c:strCache>
                <c:ptCount val="1"/>
                <c:pt idx="0">
                  <c:v>Estonie</c:v>
                </c:pt>
              </c:strCache>
            </c:strRef>
          </c:tx>
          <c:spPr>
            <a:solidFill>
              <a:schemeClr val="accent5">
                <a:lumMod val="60000"/>
              </a:schemeClr>
            </a:solidFill>
            <a:ln>
              <a:noFill/>
            </a:ln>
            <a:effectLst/>
          </c:spPr>
          <c:invertIfNegative val="0"/>
          <c:cat>
            <c:strRef>
              <c:f>[DATA16.xlsx]Stock!$C$3:$F$3</c:f>
              <c:strCache>
                <c:ptCount val="4"/>
                <c:pt idx="0">
                  <c:v>2013</c:v>
                </c:pt>
                <c:pt idx="1">
                  <c:v>2014</c:v>
                </c:pt>
                <c:pt idx="2">
                  <c:v>2015</c:v>
                </c:pt>
                <c:pt idx="3">
                  <c:v>2016</c:v>
                </c:pt>
              </c:strCache>
            </c:strRef>
          </c:cat>
          <c:val>
            <c:numRef>
              <c:f>[DATA16.xlsx]Stock!$C$14:$F$14</c:f>
              <c:numCache>
                <c:formatCode>General</c:formatCode>
                <c:ptCount val="4"/>
                <c:pt idx="0">
                  <c:v>1677</c:v>
                </c:pt>
                <c:pt idx="1">
                  <c:v>1798</c:v>
                </c:pt>
                <c:pt idx="2">
                  <c:v>1912</c:v>
                </c:pt>
                <c:pt idx="3">
                  <c:v>1998</c:v>
                </c:pt>
              </c:numCache>
            </c:numRef>
          </c:val>
        </c:ser>
        <c:ser>
          <c:idx val="11"/>
          <c:order val="11"/>
          <c:tx>
            <c:strRef>
              <c:f>[DATA16.xlsx]Stock!$B$15</c:f>
              <c:strCache>
                <c:ptCount val="1"/>
                <c:pt idx="0">
                  <c:v>Danemark</c:v>
                </c:pt>
              </c:strCache>
            </c:strRef>
          </c:tx>
          <c:spPr>
            <a:solidFill>
              <a:schemeClr val="accent6">
                <a:lumMod val="60000"/>
              </a:schemeClr>
            </a:solidFill>
            <a:ln>
              <a:noFill/>
            </a:ln>
            <a:effectLst/>
          </c:spPr>
          <c:invertIfNegative val="0"/>
          <c:cat>
            <c:strRef>
              <c:f>[DATA16.xlsx]Stock!$C$3:$F$3</c:f>
              <c:strCache>
                <c:ptCount val="4"/>
                <c:pt idx="0">
                  <c:v>2013</c:v>
                </c:pt>
                <c:pt idx="1">
                  <c:v>2014</c:v>
                </c:pt>
                <c:pt idx="2">
                  <c:v>2015</c:v>
                </c:pt>
                <c:pt idx="3">
                  <c:v>2016</c:v>
                </c:pt>
              </c:strCache>
            </c:strRef>
          </c:cat>
          <c:val>
            <c:numRef>
              <c:f>[DATA16.xlsx]Stock!$C$15:$F$15</c:f>
              <c:numCache>
                <c:formatCode>General</c:formatCode>
                <c:ptCount val="4"/>
                <c:pt idx="0">
                  <c:v>975</c:v>
                </c:pt>
                <c:pt idx="1">
                  <c:v>943</c:v>
                </c:pt>
                <c:pt idx="2">
                  <c:v>1380</c:v>
                </c:pt>
                <c:pt idx="3">
                  <c:v>1970</c:v>
                </c:pt>
              </c:numCache>
            </c:numRef>
          </c:val>
        </c:ser>
        <c:ser>
          <c:idx val="12"/>
          <c:order val="12"/>
          <c:tx>
            <c:strRef>
              <c:f>[DATA16.xlsx]Stock!$B$16</c:f>
              <c:strCache>
                <c:ptCount val="1"/>
                <c:pt idx="0">
                  <c:v>Royaume-Uni</c:v>
                </c:pt>
              </c:strCache>
            </c:strRef>
          </c:tx>
          <c:spPr>
            <a:solidFill>
              <a:schemeClr val="accent1">
                <a:lumMod val="80000"/>
                <a:lumOff val="20000"/>
              </a:schemeClr>
            </a:solidFill>
            <a:ln>
              <a:noFill/>
            </a:ln>
            <a:effectLst/>
          </c:spPr>
          <c:invertIfNegative val="0"/>
          <c:cat>
            <c:strRef>
              <c:f>[DATA16.xlsx]Stock!$C$3:$F$3</c:f>
              <c:strCache>
                <c:ptCount val="4"/>
                <c:pt idx="0">
                  <c:v>2013</c:v>
                </c:pt>
                <c:pt idx="1">
                  <c:v>2014</c:v>
                </c:pt>
                <c:pt idx="2">
                  <c:v>2015</c:v>
                </c:pt>
                <c:pt idx="3">
                  <c:v>2016</c:v>
                </c:pt>
              </c:strCache>
            </c:strRef>
          </c:cat>
          <c:val>
            <c:numRef>
              <c:f>[DATA16.xlsx]Stock!$C$16:$F$16</c:f>
              <c:numCache>
                <c:formatCode>General</c:formatCode>
                <c:ptCount val="4"/>
                <c:pt idx="0">
                  <c:v>1823</c:v>
                </c:pt>
                <c:pt idx="1">
                  <c:v>2006</c:v>
                </c:pt>
                <c:pt idx="2">
                  <c:v>1971</c:v>
                </c:pt>
                <c:pt idx="3">
                  <c:v>1967</c:v>
                </c:pt>
              </c:numCache>
            </c:numRef>
          </c:val>
        </c:ser>
        <c:ser>
          <c:idx val="13"/>
          <c:order val="13"/>
          <c:tx>
            <c:strRef>
              <c:f>[DATA16.xlsx]Stock!$B$17</c:f>
              <c:strCache>
                <c:ptCount val="1"/>
                <c:pt idx="0">
                  <c:v>Autres</c:v>
                </c:pt>
              </c:strCache>
            </c:strRef>
          </c:tx>
          <c:spPr>
            <a:solidFill>
              <a:schemeClr val="accent2">
                <a:lumMod val="80000"/>
                <a:lumOff val="20000"/>
              </a:schemeClr>
            </a:solidFill>
            <a:ln>
              <a:noFill/>
            </a:ln>
            <a:effectLst/>
          </c:spPr>
          <c:invertIfNegative val="0"/>
          <c:cat>
            <c:strRef>
              <c:f>[DATA16.xlsx]Stock!$C$3:$F$3</c:f>
              <c:strCache>
                <c:ptCount val="4"/>
                <c:pt idx="0">
                  <c:v>2013</c:v>
                </c:pt>
                <c:pt idx="1">
                  <c:v>2014</c:v>
                </c:pt>
                <c:pt idx="2">
                  <c:v>2015</c:v>
                </c:pt>
                <c:pt idx="3">
                  <c:v>2016</c:v>
                </c:pt>
              </c:strCache>
            </c:strRef>
          </c:cat>
          <c:val>
            <c:numRef>
              <c:f>[DATA16.xlsx]Stock!$C$17:$F$17</c:f>
              <c:numCache>
                <c:formatCode>General</c:formatCode>
                <c:ptCount val="4"/>
                <c:pt idx="0">
                  <c:v>23694</c:v>
                </c:pt>
                <c:pt idx="1">
                  <c:v>22485</c:v>
                </c:pt>
                <c:pt idx="2">
                  <c:v>19982</c:v>
                </c:pt>
                <c:pt idx="3">
                  <c:v>19478</c:v>
                </c:pt>
              </c:numCache>
            </c:numRef>
          </c:val>
        </c:ser>
        <c:dLbls>
          <c:showLegendKey val="0"/>
          <c:showVal val="0"/>
          <c:showCatName val="0"/>
          <c:showSerName val="0"/>
          <c:showPercent val="0"/>
          <c:showBubbleSize val="0"/>
        </c:dLbls>
        <c:gapWidth val="150"/>
        <c:overlap val="100"/>
        <c:axId val="290642832"/>
        <c:axId val="290636952"/>
      </c:barChart>
      <c:lineChart>
        <c:grouping val="stacked"/>
        <c:varyColors val="0"/>
        <c:ser>
          <c:idx val="0"/>
          <c:order val="0"/>
          <c:tx>
            <c:strRef>
              <c:f>[DATA16.xlsx]Stock!$B$4</c:f>
              <c:strCache>
                <c:ptCount val="1"/>
                <c:pt idx="0">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[DATA16.xlsx]Stock!$C$3:$F$3</c:f>
              <c:strCache>
                <c:ptCount val="4"/>
                <c:pt idx="0">
                  <c:v>2013</c:v>
                </c:pt>
                <c:pt idx="1">
                  <c:v>2014</c:v>
                </c:pt>
                <c:pt idx="2">
                  <c:v>2015</c:v>
                </c:pt>
                <c:pt idx="3">
                  <c:v>2016</c:v>
                </c:pt>
              </c:strCache>
            </c:strRef>
          </c:cat>
          <c:val>
            <c:numRef>
              <c:f>[DATA16.xlsx]Stock!$C$4:$F$4</c:f>
              <c:numCache>
                <c:formatCode>General</c:formatCode>
                <c:ptCount val="4"/>
                <c:pt idx="0">
                  <c:v>105404</c:v>
                </c:pt>
                <c:pt idx="1">
                  <c:v>96067</c:v>
                </c:pt>
                <c:pt idx="2">
                  <c:v>86840</c:v>
                </c:pt>
                <c:pt idx="3">
                  <c:v>105407</c:v>
                </c:pt>
              </c:numCache>
            </c:numRef>
          </c:val>
          <c:smooth val="0"/>
        </c:ser>
        <c:dLbls>
          <c:showLegendKey val="0"/>
          <c:showVal val="0"/>
          <c:showCatName val="0"/>
          <c:showSerName val="0"/>
          <c:showPercent val="0"/>
          <c:showBubbleSize val="0"/>
        </c:dLbls>
        <c:marker val="1"/>
        <c:smooth val="0"/>
        <c:axId val="290642832"/>
        <c:axId val="290636952"/>
      </c:lineChart>
      <c:catAx>
        <c:axId val="29064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fr-FR"/>
          </a:p>
        </c:txPr>
        <c:crossAx val="290636952"/>
        <c:crosses val="autoZero"/>
        <c:auto val="1"/>
        <c:lblAlgn val="ctr"/>
        <c:lblOffset val="100"/>
        <c:noMultiLvlLbl val="0"/>
      </c:catAx>
      <c:valAx>
        <c:axId val="290636952"/>
        <c:scaling>
          <c:orientation val="minMax"/>
          <c:max val="11000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fr-FR"/>
          </a:p>
        </c:txPr>
        <c:crossAx val="290642832"/>
        <c:crosses val="autoZero"/>
        <c:crossBetween val="between"/>
      </c:valAx>
      <c:spPr>
        <a:noFill/>
        <a:ln>
          <a:noFill/>
        </a:ln>
        <a:effectLst/>
      </c:spPr>
    </c:plotArea>
    <c:legend>
      <c:legendPos val="b"/>
      <c:layout>
        <c:manualLayout>
          <c:xMode val="edge"/>
          <c:yMode val="edge"/>
          <c:x val="0.73199868766404197"/>
          <c:y val="0.15740522018081074"/>
          <c:w val="0.23600262467191602"/>
          <c:h val="0.805557742782152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chart>
  <c:spPr>
    <a:solidFill>
      <a:schemeClr val="bg1"/>
    </a:solidFill>
    <a:ln w="9525" cap="flat" cmpd="sng" algn="ctr">
      <a:solidFill>
        <a:schemeClr val="tx1"/>
      </a:solid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721DC90C649148AB5B92E0FD2D9395" ma:contentTypeVersion="0" ma:contentTypeDescription="Crée un document." ma:contentTypeScope="" ma:versionID="26d70000dec9e35032850b6d6a246532">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DECC-AE27-4587-A93F-7981A7C87138}">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7DFFCFA-2613-453A-B960-E281F82F9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F0029F1-FCE9-4B03-A083-2F0499F876E2}">
  <ds:schemaRefs>
    <ds:schemaRef ds:uri="http://schemas.microsoft.com/sharepoint/v3/contenttype/forms"/>
  </ds:schemaRefs>
</ds:datastoreItem>
</file>

<file path=customXml/itemProps4.xml><?xml version="1.0" encoding="utf-8"?>
<ds:datastoreItem xmlns:ds="http://schemas.openxmlformats.org/officeDocument/2006/customXml" ds:itemID="{41DBD916-A6F9-46C4-87DA-5D76AEDFE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Pages>
  <Words>1340</Words>
  <Characters>7374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avis sur le rapport au titre de l'Article IV/FMI sur l'Albanie, Lettre à Hunsinger</vt:lpstr>
    </vt:vector>
  </TitlesOfParts>
  <Company>DG Tresor</Company>
  <LinksUpToDate>false</LinksUpToDate>
  <CharactersWithSpaces>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sur le rapport au titre de l'Article IV/FMI sur l'Albanie, Lettre à Hunsinger</dc:title>
  <dc:subject/>
  <dc:creator>ALLOUCHE Jordan</dc:creator>
  <cp:keywords/>
  <dc:description/>
  <cp:lastModifiedBy>CARDIEL Thomas</cp:lastModifiedBy>
  <cp:revision>31</cp:revision>
  <cp:lastPrinted>2017-12-07T09:16:00Z</cp:lastPrinted>
  <dcterms:created xsi:type="dcterms:W3CDTF">2017-12-11T08:15:00Z</dcterms:created>
  <dcterms:modified xsi:type="dcterms:W3CDTF">2018-02-02T14:42:00Z</dcterms:modified>
  <cp:category>Régalien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eurs">
    <vt:lpwstr/>
  </property>
  <property fmtid="{D5CDD505-2E9C-101B-9397-08002B2CF9AE}" pid="3" name="IDSecteurs">
    <vt:lpwstr/>
  </property>
  <property fmtid="{D5CDD505-2E9C-101B-9397-08002B2CF9AE}" pid="4" name="Pays">
    <vt:lpwstr>BOSNIE-HERZÉGOVINE; BULGARIE; CROATIE; ROUMANIE; SERBIE; ALBANIE; MACÉDOINE</vt:lpwstr>
  </property>
  <property fmtid="{D5CDD505-2E9C-101B-9397-08002B2CF9AE}" pid="5" name="IDPays">
    <vt:lpwstr>14; 18; 30; 98; 101; 368; 1056</vt:lpwstr>
  </property>
  <property fmtid="{D5CDD505-2E9C-101B-9397-08002B2CF9AE}" pid="6" name="TypeDocument">
    <vt:lpwstr>Lettre</vt:lpwstr>
  </property>
  <property fmtid="{D5CDD505-2E9C-101B-9397-08002B2CF9AE}" pid="7" name="IDTypeDocument">
    <vt:i4>1002</vt:i4>
  </property>
  <property fmtid="{D5CDD505-2E9C-101B-9397-08002B2CF9AE}" pid="8" name="DateFinValidite">
    <vt:filetime>2011-01-18T22:00:00Z</vt:filetime>
  </property>
  <property fmtid="{D5CDD505-2E9C-101B-9397-08002B2CF9AE}" pid="9" name="Destinataire">
    <vt:lpwstr>Hunsinger</vt:lpwstr>
  </property>
  <property fmtid="{D5CDD505-2E9C-101B-9397-08002B2CF9AE}" pid="10" name="SociétéDestinat">
    <vt:lpwstr>DGTPE</vt:lpwstr>
  </property>
  <property fmtid="{D5CDD505-2E9C-101B-9397-08002B2CF9AE}" pid="11" name="ContentTypeId">
    <vt:lpwstr>0x01010099721DC90C649148AB5B92E0FD2D9395</vt:lpwstr>
  </property>
</Properties>
</file>