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F7" w:rsidRPr="0015022C" w:rsidRDefault="00FC6E58" w:rsidP="002019F7">
      <w:pPr>
        <w:spacing w:after="0" w:line="240" w:lineRule="auto"/>
        <w:jc w:val="right"/>
        <w:rPr>
          <w:lang w:val="en-GB"/>
        </w:rPr>
      </w:pPr>
      <w:r>
        <w:rPr>
          <w:lang w:val="en-GB"/>
        </w:rPr>
        <w:t>21</w:t>
      </w:r>
      <w:bookmarkStart w:id="0" w:name="_GoBack"/>
      <w:bookmarkEnd w:id="0"/>
      <w:r w:rsidR="002019F7" w:rsidRPr="0015022C">
        <w:rPr>
          <w:lang w:val="en-GB"/>
        </w:rPr>
        <w:t>/0</w:t>
      </w:r>
      <w:r w:rsidR="00681B93">
        <w:rPr>
          <w:lang w:val="en-GB"/>
        </w:rPr>
        <w:t>6</w:t>
      </w:r>
      <w:r w:rsidR="002019F7" w:rsidRPr="0015022C">
        <w:rPr>
          <w:lang w:val="en-GB"/>
        </w:rPr>
        <w:t>/2018</w:t>
      </w:r>
    </w:p>
    <w:p w:rsidR="002019F7" w:rsidRPr="0015022C" w:rsidRDefault="002019F7" w:rsidP="002019F7">
      <w:pPr>
        <w:spacing w:after="0" w:line="240" w:lineRule="auto"/>
        <w:jc w:val="center"/>
        <w:rPr>
          <w:u w:val="single"/>
          <w:lang w:val="en-GB"/>
        </w:rPr>
      </w:pPr>
    </w:p>
    <w:p w:rsidR="002019F7" w:rsidRPr="0015022C" w:rsidRDefault="00AE5FD7" w:rsidP="002019F7">
      <w:pPr>
        <w:spacing w:after="0" w:line="240" w:lineRule="auto"/>
        <w:rPr>
          <w:b/>
          <w:lang w:val="en-GB"/>
        </w:rPr>
      </w:pPr>
      <w:r w:rsidRPr="0015022C">
        <w:rPr>
          <w:b/>
          <w:lang w:val="en-GB"/>
        </w:rPr>
        <w:t>Subject:</w:t>
      </w:r>
      <w:r w:rsidR="002019F7" w:rsidRPr="0015022C">
        <w:rPr>
          <w:b/>
          <w:lang w:val="en-GB"/>
        </w:rPr>
        <w:t xml:space="preserve"> </w:t>
      </w:r>
      <w:r w:rsidR="0015022C" w:rsidRPr="0015022C">
        <w:rPr>
          <w:b/>
          <w:lang w:val="en-GB"/>
        </w:rPr>
        <w:t xml:space="preserve">Latest </w:t>
      </w:r>
      <w:r w:rsidR="0015022C">
        <w:rPr>
          <w:b/>
          <w:lang w:val="en-GB"/>
        </w:rPr>
        <w:t>e</w:t>
      </w:r>
      <w:r w:rsidR="002019F7" w:rsidRPr="0015022C">
        <w:rPr>
          <w:b/>
          <w:lang w:val="en-GB"/>
        </w:rPr>
        <w:t>conomic indicators</w:t>
      </w:r>
      <w:r w:rsidR="0015022C" w:rsidRPr="0015022C">
        <w:rPr>
          <w:b/>
          <w:lang w:val="en-GB"/>
        </w:rPr>
        <w:t xml:space="preserve"> in the Philippines</w:t>
      </w:r>
    </w:p>
    <w:p w:rsidR="002019F7" w:rsidRPr="0015022C" w:rsidRDefault="002019F7" w:rsidP="002019F7">
      <w:pPr>
        <w:spacing w:after="0" w:line="240" w:lineRule="auto"/>
        <w:rPr>
          <w:lang w:val="en-GB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</w:tblGrid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E9023F" w:rsidRDefault="002019F7" w:rsidP="002019F7">
            <w:pPr>
              <w:spacing w:after="0" w:line="240" w:lineRule="auto"/>
              <w:jc w:val="center"/>
              <w:rPr>
                <w:b/>
                <w:color w:val="000000"/>
                <w:lang w:val="en"/>
              </w:rPr>
            </w:pPr>
            <w:r w:rsidRPr="00E9023F">
              <w:rPr>
                <w:b/>
                <w:color w:val="000000"/>
                <w:lang w:val="en"/>
              </w:rPr>
              <w:t>Economic growth</w:t>
            </w:r>
          </w:p>
        </w:tc>
        <w:tc>
          <w:tcPr>
            <w:tcW w:w="7229" w:type="dxa"/>
            <w:vAlign w:val="center"/>
          </w:tcPr>
          <w:p w:rsidR="002019F7" w:rsidRDefault="002019F7" w:rsidP="000849CC">
            <w:pPr>
              <w:spacing w:before="60" w:after="0" w:line="240" w:lineRule="auto"/>
              <w:jc w:val="both"/>
              <w:rPr>
                <w:color w:val="000000"/>
                <w:lang w:val="en"/>
              </w:rPr>
            </w:pPr>
            <w:r w:rsidRPr="00652F86">
              <w:rPr>
                <w:b/>
                <w:color w:val="000000"/>
                <w:lang w:val="en"/>
              </w:rPr>
              <w:t>Philippine economy gr</w:t>
            </w:r>
            <w:r w:rsidR="0015022C">
              <w:rPr>
                <w:b/>
                <w:color w:val="000000"/>
                <w:lang w:val="en"/>
              </w:rPr>
              <w:t>e</w:t>
            </w:r>
            <w:r w:rsidRPr="00652F86">
              <w:rPr>
                <w:b/>
                <w:color w:val="000000"/>
                <w:lang w:val="en"/>
              </w:rPr>
              <w:t>w by 6.8 percent in the first quarter of 2018</w:t>
            </w:r>
            <w:r w:rsidRPr="00652F86">
              <w:rPr>
                <w:color w:val="000000"/>
                <w:lang w:val="en"/>
              </w:rPr>
              <w:t>.</w:t>
            </w:r>
          </w:p>
          <w:p w:rsidR="002019F7" w:rsidRDefault="002019F7" w:rsidP="00AF6134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652F86">
              <w:rPr>
                <w:color w:val="000000"/>
                <w:lang w:val="en"/>
              </w:rPr>
              <w:t>This was faster than the growth recorded in the same quarter of 2017</w:t>
            </w:r>
            <w:r>
              <w:rPr>
                <w:color w:val="000000"/>
                <w:lang w:val="en"/>
              </w:rPr>
              <w:t xml:space="preserve"> (6</w:t>
            </w:r>
            <w:r w:rsidR="0015022C">
              <w:rPr>
                <w:color w:val="000000"/>
                <w:lang w:val="en"/>
              </w:rPr>
              <w:t>.</w:t>
            </w:r>
            <w:r>
              <w:rPr>
                <w:color w:val="000000"/>
                <w:lang w:val="en"/>
              </w:rPr>
              <w:t>5</w:t>
            </w:r>
            <w:r w:rsidR="0015022C">
              <w:rPr>
                <w:color w:val="000000"/>
                <w:lang w:val="en"/>
              </w:rPr>
              <w:t xml:space="preserve"> percent</w:t>
            </w:r>
            <w:r>
              <w:rPr>
                <w:color w:val="000000"/>
                <w:lang w:val="en"/>
              </w:rPr>
              <w:t>)</w:t>
            </w:r>
            <w:r w:rsidRPr="00652F86">
              <w:rPr>
                <w:color w:val="000000"/>
                <w:lang w:val="en"/>
              </w:rPr>
              <w:t>. Among the major economic sectors, Industry recorded the fastest growth at 7.9 percent</w:t>
            </w:r>
            <w:r w:rsidR="0015022C">
              <w:rPr>
                <w:color w:val="000000"/>
                <w:lang w:val="en"/>
              </w:rPr>
              <w:t>,</w:t>
            </w:r>
            <w:r w:rsidRPr="00652F86">
              <w:rPr>
                <w:color w:val="000000"/>
                <w:lang w:val="en"/>
              </w:rPr>
              <w:t xml:space="preserve"> followed by Services with a growth of 7.0 percent. Agriculture grew at a slower pace of 1.5 percent.</w:t>
            </w:r>
          </w:p>
          <w:p w:rsidR="002019F7" w:rsidRPr="00C6077E" w:rsidRDefault="00A5082A" w:rsidP="00A5082A">
            <w:pPr>
              <w:spacing w:after="120" w:line="240" w:lineRule="auto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>According to most forecast, t</w:t>
            </w:r>
            <w:r w:rsidR="00B4547B">
              <w:rPr>
                <w:color w:val="000000"/>
                <w:lang w:val="en"/>
              </w:rPr>
              <w:t xml:space="preserve">he </w:t>
            </w:r>
            <w:r>
              <w:rPr>
                <w:color w:val="000000"/>
                <w:lang w:val="en"/>
              </w:rPr>
              <w:t xml:space="preserve">Philippine GDP </w:t>
            </w:r>
            <w:r w:rsidR="00B4547B" w:rsidRPr="00B4547B">
              <w:rPr>
                <w:color w:val="000000"/>
                <w:lang w:val="en"/>
              </w:rPr>
              <w:t xml:space="preserve">may grow by 6.8 percent in 2018, before accelerating to 6.9 percent </w:t>
            </w:r>
            <w:r w:rsidR="00B4547B">
              <w:rPr>
                <w:color w:val="000000"/>
                <w:lang w:val="en"/>
              </w:rPr>
              <w:t>in 2019.</w:t>
            </w:r>
          </w:p>
        </w:tc>
      </w:tr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E9023F" w:rsidRDefault="002019F7" w:rsidP="002019F7">
            <w:pPr>
              <w:spacing w:after="0" w:line="240" w:lineRule="auto"/>
              <w:jc w:val="center"/>
              <w:rPr>
                <w:b/>
                <w:color w:val="000000"/>
                <w:lang w:val="en"/>
              </w:rPr>
            </w:pPr>
            <w:r w:rsidRPr="00E9023F">
              <w:rPr>
                <w:b/>
                <w:color w:val="000000"/>
                <w:lang w:val="en"/>
              </w:rPr>
              <w:t>Inflation</w:t>
            </w:r>
          </w:p>
        </w:tc>
        <w:tc>
          <w:tcPr>
            <w:tcW w:w="7229" w:type="dxa"/>
            <w:vAlign w:val="center"/>
          </w:tcPr>
          <w:p w:rsidR="002019F7" w:rsidRPr="002019F7" w:rsidRDefault="008E63D1" w:rsidP="000849CC">
            <w:pPr>
              <w:spacing w:before="60" w:after="0" w:line="240" w:lineRule="auto"/>
              <w:jc w:val="both"/>
              <w:outlineLvl w:val="0"/>
              <w:rPr>
                <w:b/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>I</w:t>
            </w:r>
            <w:r w:rsidR="002019F7" w:rsidRPr="002019F7">
              <w:rPr>
                <w:b/>
                <w:color w:val="000000"/>
                <w:lang w:val="en"/>
              </w:rPr>
              <w:t>nflation rises to 4.</w:t>
            </w:r>
            <w:r>
              <w:rPr>
                <w:b/>
                <w:color w:val="000000"/>
                <w:lang w:val="en"/>
              </w:rPr>
              <w:t>6</w:t>
            </w:r>
            <w:r w:rsidR="00B4547B">
              <w:rPr>
                <w:b/>
                <w:color w:val="000000"/>
                <w:lang w:val="en"/>
              </w:rPr>
              <w:t xml:space="preserve"> percent</w:t>
            </w:r>
            <w:r w:rsidR="002019F7" w:rsidRPr="002019F7">
              <w:rPr>
                <w:b/>
                <w:color w:val="000000"/>
                <w:lang w:val="en"/>
              </w:rPr>
              <w:t xml:space="preserve"> </w:t>
            </w:r>
            <w:r>
              <w:rPr>
                <w:b/>
                <w:color w:val="000000"/>
                <w:lang w:val="en"/>
              </w:rPr>
              <w:t xml:space="preserve">year-on-year </w:t>
            </w:r>
            <w:r w:rsidR="002019F7" w:rsidRPr="002019F7">
              <w:rPr>
                <w:b/>
                <w:color w:val="000000"/>
                <w:lang w:val="en"/>
              </w:rPr>
              <w:t xml:space="preserve">in </w:t>
            </w:r>
            <w:r>
              <w:rPr>
                <w:b/>
                <w:color w:val="000000"/>
                <w:lang w:val="en"/>
              </w:rPr>
              <w:t>May</w:t>
            </w:r>
            <w:r w:rsidR="002019F7" w:rsidRPr="002019F7">
              <w:rPr>
                <w:b/>
                <w:color w:val="000000"/>
                <w:lang w:val="en"/>
              </w:rPr>
              <w:t xml:space="preserve"> 2018</w:t>
            </w:r>
            <w:r w:rsidR="002019F7" w:rsidRPr="00DF2C48">
              <w:rPr>
                <w:b/>
                <w:color w:val="000000"/>
                <w:lang w:val="en"/>
              </w:rPr>
              <w:t>.</w:t>
            </w:r>
          </w:p>
          <w:p w:rsidR="002019F7" w:rsidRDefault="002019F7" w:rsidP="003D6BAD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2019F7">
              <w:rPr>
                <w:color w:val="000000"/>
                <w:lang w:val="en"/>
              </w:rPr>
              <w:t xml:space="preserve">Inflation reaches a 5-year high amid price increases for </w:t>
            </w:r>
            <w:r w:rsidR="008E63D1">
              <w:rPr>
                <w:color w:val="000000"/>
                <w:lang w:val="en"/>
              </w:rPr>
              <w:t xml:space="preserve">petroleum products, </w:t>
            </w:r>
            <w:r w:rsidRPr="002019F7">
              <w:rPr>
                <w:color w:val="000000"/>
                <w:lang w:val="en"/>
              </w:rPr>
              <w:t xml:space="preserve">alcoholic beverages and tobacco; </w:t>
            </w:r>
            <w:r w:rsidR="001210CF">
              <w:rPr>
                <w:color w:val="000000"/>
                <w:lang w:val="en"/>
              </w:rPr>
              <w:t xml:space="preserve">non-alcoholic beverages and food items; </w:t>
            </w:r>
            <w:r w:rsidRPr="002019F7">
              <w:rPr>
                <w:color w:val="000000"/>
                <w:lang w:val="en"/>
              </w:rPr>
              <w:t>transport; electricity, gas, and other fuels.</w:t>
            </w:r>
            <w:r w:rsidR="00EC6141">
              <w:rPr>
                <w:color w:val="000000"/>
                <w:lang w:val="en"/>
              </w:rPr>
              <w:t xml:space="preserve"> Year-to-date average inflation of 4.1 percent is above the </w:t>
            </w:r>
            <w:r w:rsidR="00EC6141" w:rsidRPr="00EC6141">
              <w:rPr>
                <w:color w:val="000000"/>
                <w:lang w:val="en"/>
              </w:rPr>
              <w:t xml:space="preserve">inflation target </w:t>
            </w:r>
            <w:r w:rsidR="00EC6141">
              <w:rPr>
                <w:color w:val="000000"/>
                <w:lang w:val="en"/>
              </w:rPr>
              <w:t xml:space="preserve">for 2018 </w:t>
            </w:r>
            <w:r w:rsidR="00EC6141" w:rsidRPr="00EC6141">
              <w:rPr>
                <w:color w:val="000000"/>
                <w:lang w:val="en"/>
              </w:rPr>
              <w:t>of 3.0 percent ± 1.0 percentage point</w:t>
            </w:r>
            <w:r w:rsidR="00EC6141">
              <w:rPr>
                <w:color w:val="000000"/>
                <w:lang w:val="en"/>
              </w:rPr>
              <w:t>.</w:t>
            </w:r>
          </w:p>
          <w:p w:rsidR="0015022C" w:rsidRPr="00DF2C48" w:rsidRDefault="00AE5FD7" w:rsidP="00455E43">
            <w:pPr>
              <w:spacing w:after="120" w:line="240" w:lineRule="auto"/>
              <w:jc w:val="both"/>
              <w:rPr>
                <w:color w:val="000000"/>
                <w:lang w:val="en"/>
              </w:rPr>
            </w:pPr>
            <w:r w:rsidRPr="00B4547B">
              <w:rPr>
                <w:b/>
                <w:color w:val="000000"/>
                <w:lang w:val="en"/>
              </w:rPr>
              <w:t xml:space="preserve">On </w:t>
            </w:r>
            <w:r w:rsidR="002E782F">
              <w:rPr>
                <w:b/>
                <w:color w:val="000000"/>
                <w:lang w:val="en"/>
              </w:rPr>
              <w:t xml:space="preserve">20 June, the Monetary </w:t>
            </w:r>
            <w:r w:rsidR="0015022C" w:rsidRPr="00B4547B">
              <w:rPr>
                <w:b/>
                <w:color w:val="000000"/>
                <w:lang w:val="en"/>
              </w:rPr>
              <w:t xml:space="preserve">Board </w:t>
            </w:r>
            <w:r w:rsidR="002E782F">
              <w:rPr>
                <w:b/>
                <w:color w:val="000000"/>
                <w:lang w:val="en"/>
              </w:rPr>
              <w:t xml:space="preserve">raised </w:t>
            </w:r>
            <w:r w:rsidRPr="00B4547B">
              <w:rPr>
                <w:b/>
                <w:color w:val="000000"/>
                <w:lang w:val="en"/>
              </w:rPr>
              <w:t xml:space="preserve">its policy </w:t>
            </w:r>
            <w:r w:rsidR="0015022C" w:rsidRPr="00B4547B">
              <w:rPr>
                <w:b/>
                <w:color w:val="000000"/>
                <w:lang w:val="en"/>
              </w:rPr>
              <w:t xml:space="preserve">interest rate by 25 basis points </w:t>
            </w:r>
            <w:r w:rsidR="002E782F">
              <w:rPr>
                <w:b/>
                <w:color w:val="000000"/>
                <w:lang w:val="en"/>
              </w:rPr>
              <w:t xml:space="preserve">(bps) </w:t>
            </w:r>
            <w:r w:rsidR="0015022C" w:rsidRPr="00B4547B">
              <w:rPr>
                <w:b/>
                <w:color w:val="000000"/>
                <w:lang w:val="en"/>
              </w:rPr>
              <w:t>to 3.</w:t>
            </w:r>
            <w:r w:rsidR="002E782F">
              <w:rPr>
                <w:b/>
                <w:color w:val="000000"/>
                <w:lang w:val="en"/>
              </w:rPr>
              <w:t>50</w:t>
            </w:r>
            <w:r w:rsidR="0015022C" w:rsidRPr="00B4547B">
              <w:rPr>
                <w:b/>
                <w:color w:val="000000"/>
                <w:lang w:val="en"/>
              </w:rPr>
              <w:t xml:space="preserve"> percent</w:t>
            </w:r>
            <w:r w:rsidR="0015022C" w:rsidRPr="0015022C">
              <w:rPr>
                <w:color w:val="000000"/>
                <w:lang w:val="en"/>
              </w:rPr>
              <w:t>.</w:t>
            </w:r>
            <w:r>
              <w:rPr>
                <w:color w:val="000000"/>
                <w:lang w:val="en"/>
              </w:rPr>
              <w:t xml:space="preserve"> </w:t>
            </w:r>
            <w:r w:rsidR="002E782F">
              <w:rPr>
                <w:color w:val="000000"/>
                <w:lang w:val="en"/>
              </w:rPr>
              <w:t xml:space="preserve">The </w:t>
            </w:r>
            <w:r w:rsidR="002E782F" w:rsidRPr="002E782F">
              <w:rPr>
                <w:color w:val="000000"/>
                <w:lang w:val="en"/>
              </w:rPr>
              <w:t>Monetary Board noted that inflation expectations remained elevated for 2018</w:t>
            </w:r>
            <w:r w:rsidR="002E782F">
              <w:rPr>
                <w:color w:val="000000"/>
                <w:lang w:val="en"/>
              </w:rPr>
              <w:t>. The decision follows a first increase by 25 bps last 10 May.</w:t>
            </w:r>
            <w:r w:rsidR="002E782F" w:rsidRPr="002E782F">
              <w:rPr>
                <w:color w:val="000000"/>
                <w:lang w:val="en"/>
              </w:rPr>
              <w:t xml:space="preserve"> </w:t>
            </w:r>
            <w:r w:rsidR="00E9023F">
              <w:rPr>
                <w:color w:val="000000"/>
                <w:lang w:val="en"/>
              </w:rPr>
              <w:t>The policy rate had remained unchanged since late 2014.</w:t>
            </w:r>
            <w:r w:rsidR="00455E43">
              <w:rPr>
                <w:color w:val="000000"/>
                <w:lang w:val="en"/>
              </w:rPr>
              <w:t xml:space="preserve"> T</w:t>
            </w:r>
            <w:r w:rsidR="0015022C" w:rsidRPr="0015022C">
              <w:rPr>
                <w:color w:val="000000"/>
                <w:lang w:val="en"/>
              </w:rPr>
              <w:t xml:space="preserve">he </w:t>
            </w:r>
            <w:r w:rsidR="00455E43" w:rsidRPr="00455E43">
              <w:rPr>
                <w:color w:val="000000"/>
                <w:lang w:val="en"/>
              </w:rPr>
              <w:t xml:space="preserve">Monetary Board emphasized the BSP’s continued vigilance against excessive peso </w:t>
            </w:r>
            <w:proofErr w:type="gramStart"/>
            <w:r w:rsidR="00455E43" w:rsidRPr="00455E43">
              <w:rPr>
                <w:color w:val="000000"/>
                <w:lang w:val="en"/>
              </w:rPr>
              <w:t>volatility, that</w:t>
            </w:r>
            <w:proofErr w:type="gramEnd"/>
            <w:r w:rsidR="00455E43" w:rsidRPr="00455E43">
              <w:rPr>
                <w:color w:val="000000"/>
                <w:lang w:val="en"/>
              </w:rPr>
              <w:t xml:space="preserve"> could affect the outlook for inflation.</w:t>
            </w:r>
          </w:p>
        </w:tc>
      </w:tr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A5082A" w:rsidRDefault="00A5082A" w:rsidP="00A5082A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External t</w:t>
            </w:r>
            <w:r w:rsidR="002019F7" w:rsidRPr="00A5082A">
              <w:rPr>
                <w:b/>
                <w:lang w:val="en-GB"/>
              </w:rPr>
              <w:t>rade</w:t>
            </w:r>
          </w:p>
        </w:tc>
        <w:tc>
          <w:tcPr>
            <w:tcW w:w="7229" w:type="dxa"/>
            <w:vAlign w:val="center"/>
          </w:tcPr>
          <w:p w:rsidR="002019F7" w:rsidRPr="00FB3C53" w:rsidRDefault="00FB3C53" w:rsidP="007555DC">
            <w:pPr>
              <w:spacing w:before="60" w:after="60" w:line="240" w:lineRule="auto"/>
              <w:jc w:val="both"/>
              <w:rPr>
                <w:lang w:val="en-GB"/>
              </w:rPr>
            </w:pPr>
            <w:r>
              <w:rPr>
                <w:b/>
                <w:lang w:val="en-GB"/>
              </w:rPr>
              <w:t>I</w:t>
            </w:r>
            <w:r w:rsidRPr="00FB3C53">
              <w:rPr>
                <w:b/>
                <w:lang w:val="en-GB"/>
              </w:rPr>
              <w:t xml:space="preserve">n the </w:t>
            </w:r>
            <w:r w:rsidR="00E6167C">
              <w:rPr>
                <w:b/>
                <w:lang w:val="en-GB"/>
              </w:rPr>
              <w:t xml:space="preserve">first </w:t>
            </w:r>
            <w:r w:rsidRPr="00FB3C53">
              <w:rPr>
                <w:b/>
                <w:lang w:val="en-GB"/>
              </w:rPr>
              <w:t>f</w:t>
            </w:r>
            <w:r w:rsidR="00E6167C">
              <w:rPr>
                <w:b/>
                <w:lang w:val="en-GB"/>
              </w:rPr>
              <w:t xml:space="preserve">our months </w:t>
            </w:r>
            <w:r w:rsidRPr="00FB3C53">
              <w:rPr>
                <w:b/>
                <w:lang w:val="en-GB"/>
              </w:rPr>
              <w:t>of 2018</w:t>
            </w:r>
            <w:r>
              <w:rPr>
                <w:b/>
                <w:lang w:val="en-GB"/>
              </w:rPr>
              <w:t>, e</w:t>
            </w:r>
            <w:r w:rsidR="00F936F1" w:rsidRPr="00F936F1">
              <w:rPr>
                <w:b/>
                <w:lang w:val="en-GB"/>
              </w:rPr>
              <w:t xml:space="preserve">xports </w:t>
            </w:r>
            <w:r w:rsidR="00E6167C">
              <w:rPr>
                <w:b/>
                <w:lang w:val="en-GB"/>
              </w:rPr>
              <w:t xml:space="preserve">($20.9 </w:t>
            </w:r>
            <w:r w:rsidR="007555DC">
              <w:rPr>
                <w:b/>
                <w:lang w:val="en-GB"/>
              </w:rPr>
              <w:t>b</w:t>
            </w:r>
            <w:r w:rsidR="00E6167C">
              <w:rPr>
                <w:b/>
                <w:lang w:val="en-GB"/>
              </w:rPr>
              <w:t xml:space="preserve">illion) </w:t>
            </w:r>
            <w:r>
              <w:rPr>
                <w:b/>
                <w:lang w:val="en-GB"/>
              </w:rPr>
              <w:t xml:space="preserve">contracted </w:t>
            </w:r>
            <w:r w:rsidR="00F936F1" w:rsidRPr="00F936F1">
              <w:rPr>
                <w:b/>
                <w:lang w:val="en-GB"/>
              </w:rPr>
              <w:t>by 6</w:t>
            </w:r>
            <w:r w:rsidR="00E6167C">
              <w:rPr>
                <w:b/>
                <w:lang w:val="en-GB"/>
              </w:rPr>
              <w:t>.2</w:t>
            </w:r>
            <w:r w:rsidR="00F936F1" w:rsidRPr="00F936F1">
              <w:rPr>
                <w:b/>
                <w:lang w:val="en-GB"/>
              </w:rPr>
              <w:t xml:space="preserve">% </w:t>
            </w:r>
            <w:r>
              <w:rPr>
                <w:b/>
                <w:lang w:val="en-GB"/>
              </w:rPr>
              <w:t xml:space="preserve">year-on-year </w:t>
            </w:r>
            <w:r w:rsidR="00F936F1" w:rsidRPr="00F936F1">
              <w:rPr>
                <w:b/>
                <w:lang w:val="en-GB"/>
              </w:rPr>
              <w:t xml:space="preserve">while imports </w:t>
            </w:r>
            <w:r w:rsidR="007555DC">
              <w:rPr>
                <w:b/>
                <w:lang w:val="en-GB"/>
              </w:rPr>
              <w:t xml:space="preserve">($33.2 billion) </w:t>
            </w:r>
            <w:r w:rsidR="00F936F1" w:rsidRPr="00F936F1">
              <w:rPr>
                <w:b/>
                <w:lang w:val="en-GB"/>
              </w:rPr>
              <w:t xml:space="preserve">grew by </w:t>
            </w:r>
            <w:r w:rsidR="00E6167C">
              <w:rPr>
                <w:b/>
                <w:lang w:val="en-GB"/>
              </w:rPr>
              <w:t>10</w:t>
            </w:r>
            <w:r w:rsidR="00F936F1" w:rsidRPr="00F936F1">
              <w:rPr>
                <w:b/>
                <w:lang w:val="en-GB"/>
              </w:rPr>
              <w:t>%.</w:t>
            </w:r>
            <w:r w:rsidR="00AF6134">
              <w:rPr>
                <w:b/>
                <w:lang w:val="en-GB"/>
              </w:rPr>
              <w:t xml:space="preserve"> </w:t>
            </w:r>
            <w:r w:rsidRPr="00FB3C53">
              <w:rPr>
                <w:lang w:val="en-GB"/>
              </w:rPr>
              <w:t>The country’s trade deficit widened to $</w:t>
            </w:r>
            <w:r w:rsidR="007555DC">
              <w:rPr>
                <w:lang w:val="en-GB"/>
              </w:rPr>
              <w:t>12.2</w:t>
            </w:r>
            <w:r w:rsidRPr="00FB3C53">
              <w:rPr>
                <w:lang w:val="en-GB"/>
              </w:rPr>
              <w:t xml:space="preserve"> billion, an increase by </w:t>
            </w:r>
            <w:r w:rsidR="007555DC">
              <w:rPr>
                <w:lang w:val="en-GB"/>
              </w:rPr>
              <w:t>59</w:t>
            </w:r>
            <w:r w:rsidRPr="00FB3C53">
              <w:rPr>
                <w:lang w:val="en-GB"/>
              </w:rPr>
              <w:t xml:space="preserve">% from the </w:t>
            </w:r>
            <w:r w:rsidR="00AF6134">
              <w:rPr>
                <w:lang w:val="en-GB"/>
              </w:rPr>
              <w:t>US</w:t>
            </w:r>
            <w:r w:rsidRPr="00FB3C53">
              <w:rPr>
                <w:lang w:val="en-GB"/>
              </w:rPr>
              <w:t>$</w:t>
            </w:r>
            <w:r w:rsidR="007555DC">
              <w:rPr>
                <w:lang w:val="en-GB"/>
              </w:rPr>
              <w:t>7</w:t>
            </w:r>
            <w:r w:rsidRPr="00FB3C53">
              <w:rPr>
                <w:lang w:val="en-GB"/>
              </w:rPr>
              <w:t>.</w:t>
            </w:r>
            <w:r w:rsidR="007555DC">
              <w:rPr>
                <w:lang w:val="en-GB"/>
              </w:rPr>
              <w:t>7</w:t>
            </w:r>
            <w:r w:rsidRPr="00FB3C53">
              <w:rPr>
                <w:lang w:val="en-GB"/>
              </w:rPr>
              <w:t xml:space="preserve"> billion deficit recorded in the </w:t>
            </w:r>
            <w:r w:rsidR="007555DC">
              <w:rPr>
                <w:lang w:val="en-GB"/>
              </w:rPr>
              <w:t xml:space="preserve">same period </w:t>
            </w:r>
            <w:r w:rsidRPr="00FB3C53">
              <w:rPr>
                <w:lang w:val="en-GB"/>
              </w:rPr>
              <w:t xml:space="preserve">of 2017. </w:t>
            </w:r>
            <w:r w:rsidR="007555DC">
              <w:rPr>
                <w:lang w:val="en-GB"/>
              </w:rPr>
              <w:t>The government ex</w:t>
            </w:r>
            <w:r w:rsidR="00F936F1" w:rsidRPr="00FB3C53">
              <w:rPr>
                <w:lang w:val="en-GB"/>
              </w:rPr>
              <w:t xml:space="preserve">port and import growth </w:t>
            </w:r>
            <w:r w:rsidR="007555DC">
              <w:rPr>
                <w:lang w:val="en-GB"/>
              </w:rPr>
              <w:t xml:space="preserve">targets for 2018 </w:t>
            </w:r>
            <w:r w:rsidRPr="00FB3C53">
              <w:rPr>
                <w:lang w:val="en-GB"/>
              </w:rPr>
              <w:t xml:space="preserve">are </w:t>
            </w:r>
            <w:r w:rsidR="00F936F1" w:rsidRPr="00FB3C53">
              <w:rPr>
                <w:lang w:val="en-GB"/>
              </w:rPr>
              <w:t>10% and 11%, respectively.</w:t>
            </w:r>
            <w:r w:rsidR="002019F7" w:rsidRPr="00FB3C53">
              <w:rPr>
                <w:lang w:val="en-GB"/>
              </w:rPr>
              <w:t xml:space="preserve"> </w:t>
            </w:r>
          </w:p>
        </w:tc>
      </w:tr>
      <w:tr w:rsidR="00A611B9" w:rsidRPr="00316EB7" w:rsidTr="006F1B54">
        <w:trPr>
          <w:jc w:val="center"/>
        </w:trPr>
        <w:tc>
          <w:tcPr>
            <w:tcW w:w="1838" w:type="dxa"/>
            <w:vAlign w:val="center"/>
          </w:tcPr>
          <w:p w:rsidR="00A611B9" w:rsidRPr="00051610" w:rsidRDefault="00A611B9" w:rsidP="002019F7">
            <w:pPr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Remittances</w:t>
            </w:r>
          </w:p>
        </w:tc>
        <w:tc>
          <w:tcPr>
            <w:tcW w:w="7229" w:type="dxa"/>
            <w:vAlign w:val="center"/>
          </w:tcPr>
          <w:p w:rsidR="00A611B9" w:rsidRPr="00A611B9" w:rsidRDefault="00796EA5" w:rsidP="000849CC">
            <w:pPr>
              <w:spacing w:before="60" w:after="60" w:line="240" w:lineRule="auto"/>
              <w:jc w:val="both"/>
              <w:rPr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 xml:space="preserve">In </w:t>
            </w:r>
            <w:r w:rsidR="007479BB">
              <w:rPr>
                <w:b/>
                <w:color w:val="000000"/>
                <w:lang w:val="en"/>
              </w:rPr>
              <w:t>April</w:t>
            </w:r>
            <w:r>
              <w:rPr>
                <w:b/>
                <w:color w:val="000000"/>
                <w:lang w:val="en"/>
              </w:rPr>
              <w:t xml:space="preserve"> 2018, remittances </w:t>
            </w:r>
            <w:r w:rsidR="007479BB">
              <w:rPr>
                <w:b/>
                <w:color w:val="000000"/>
                <w:lang w:val="en"/>
              </w:rPr>
              <w:t xml:space="preserve">from </w:t>
            </w:r>
            <w:r>
              <w:rPr>
                <w:b/>
                <w:color w:val="000000"/>
                <w:lang w:val="en"/>
              </w:rPr>
              <w:t xml:space="preserve">overseas Filipino workers </w:t>
            </w:r>
            <w:r w:rsidR="007479BB">
              <w:rPr>
                <w:b/>
                <w:color w:val="000000"/>
                <w:lang w:val="en"/>
              </w:rPr>
              <w:t xml:space="preserve">increased by 12.9% </w:t>
            </w:r>
            <w:proofErr w:type="spellStart"/>
            <w:r w:rsidR="007479BB">
              <w:rPr>
                <w:b/>
                <w:color w:val="000000"/>
                <w:lang w:val="en"/>
              </w:rPr>
              <w:t>y.o.y</w:t>
            </w:r>
            <w:proofErr w:type="spellEnd"/>
            <w:r w:rsidR="007479BB">
              <w:rPr>
                <w:b/>
                <w:color w:val="000000"/>
                <w:lang w:val="en"/>
              </w:rPr>
              <w:t xml:space="preserve">. to reach </w:t>
            </w:r>
            <w:r>
              <w:rPr>
                <w:b/>
                <w:color w:val="000000"/>
                <w:lang w:val="en"/>
              </w:rPr>
              <w:t>$2.6 billion</w:t>
            </w:r>
            <w:r w:rsidR="007479BB">
              <w:rPr>
                <w:b/>
                <w:color w:val="000000"/>
                <w:lang w:val="en"/>
              </w:rPr>
              <w:t xml:space="preserve"> compared to </w:t>
            </w:r>
            <w:r>
              <w:rPr>
                <w:b/>
                <w:color w:val="000000"/>
                <w:lang w:val="en"/>
              </w:rPr>
              <w:t>$2.</w:t>
            </w:r>
            <w:r w:rsidR="007479BB">
              <w:rPr>
                <w:b/>
                <w:color w:val="000000"/>
                <w:lang w:val="en"/>
              </w:rPr>
              <w:t>3</w:t>
            </w:r>
            <w:r>
              <w:rPr>
                <w:b/>
                <w:color w:val="000000"/>
                <w:lang w:val="en"/>
              </w:rPr>
              <w:t xml:space="preserve"> billion in </w:t>
            </w:r>
            <w:r w:rsidR="007479BB">
              <w:rPr>
                <w:b/>
                <w:color w:val="000000"/>
                <w:lang w:val="en"/>
              </w:rPr>
              <w:t>April</w:t>
            </w:r>
            <w:r>
              <w:rPr>
                <w:b/>
                <w:color w:val="000000"/>
                <w:lang w:val="en"/>
              </w:rPr>
              <w:t xml:space="preserve"> 2017</w:t>
            </w:r>
            <w:r>
              <w:rPr>
                <w:color w:val="000000"/>
                <w:lang w:val="en"/>
              </w:rPr>
              <w:t xml:space="preserve">. </w:t>
            </w:r>
            <w:r w:rsidR="007479BB">
              <w:rPr>
                <w:color w:val="000000"/>
                <w:lang w:val="en"/>
              </w:rPr>
              <w:t xml:space="preserve">For the first four months of </w:t>
            </w:r>
            <w:r>
              <w:rPr>
                <w:color w:val="000000"/>
                <w:lang w:val="en"/>
              </w:rPr>
              <w:t>2018, remittances reached $</w:t>
            </w:r>
            <w:r w:rsidR="007479BB">
              <w:rPr>
                <w:color w:val="000000"/>
                <w:lang w:val="en"/>
              </w:rPr>
              <w:t>10</w:t>
            </w:r>
            <w:r>
              <w:rPr>
                <w:color w:val="000000"/>
                <w:lang w:val="en"/>
              </w:rPr>
              <w:t>.</w:t>
            </w:r>
            <w:r w:rsidR="007479BB">
              <w:rPr>
                <w:color w:val="000000"/>
                <w:lang w:val="en"/>
              </w:rPr>
              <w:t>4</w:t>
            </w:r>
            <w:r>
              <w:rPr>
                <w:color w:val="000000"/>
                <w:lang w:val="en"/>
              </w:rPr>
              <w:t xml:space="preserve"> billion</w:t>
            </w:r>
            <w:r w:rsidR="00A611B9" w:rsidRPr="00A611B9">
              <w:rPr>
                <w:color w:val="000000"/>
                <w:lang w:val="en"/>
              </w:rPr>
              <w:t xml:space="preserve">, </w:t>
            </w:r>
            <w:r w:rsidR="007479BB">
              <w:rPr>
                <w:color w:val="000000"/>
                <w:lang w:val="en"/>
              </w:rPr>
              <w:t>4</w:t>
            </w:r>
            <w:r w:rsidR="00A611B9" w:rsidRPr="00A611B9">
              <w:rPr>
                <w:color w:val="000000"/>
                <w:lang w:val="en"/>
              </w:rPr>
              <w:t>% higher than the $</w:t>
            </w:r>
            <w:r w:rsidR="004C06B4">
              <w:rPr>
                <w:color w:val="000000"/>
                <w:lang w:val="en"/>
              </w:rPr>
              <w:t>10</w:t>
            </w:r>
            <w:r w:rsidR="00A611B9" w:rsidRPr="00A611B9">
              <w:rPr>
                <w:color w:val="000000"/>
                <w:lang w:val="en"/>
              </w:rPr>
              <w:t>.</w:t>
            </w:r>
            <w:r w:rsidR="004C06B4">
              <w:rPr>
                <w:color w:val="000000"/>
                <w:lang w:val="en"/>
              </w:rPr>
              <w:t>0</w:t>
            </w:r>
            <w:r w:rsidR="002165B3">
              <w:rPr>
                <w:color w:val="000000"/>
                <w:lang w:val="en"/>
              </w:rPr>
              <w:t> </w:t>
            </w:r>
            <w:r w:rsidR="002165B3" w:rsidRPr="00A611B9">
              <w:rPr>
                <w:color w:val="000000"/>
                <w:lang w:val="en"/>
              </w:rPr>
              <w:t>billion</w:t>
            </w:r>
            <w:r w:rsidR="00A611B9" w:rsidRPr="00A611B9">
              <w:rPr>
                <w:color w:val="000000"/>
                <w:lang w:val="en"/>
              </w:rPr>
              <w:t xml:space="preserve"> remittances booked during the same period in 201</w:t>
            </w:r>
            <w:r w:rsidR="004C06B4">
              <w:rPr>
                <w:color w:val="000000"/>
                <w:lang w:val="en"/>
              </w:rPr>
              <w:t>8</w:t>
            </w:r>
            <w:r w:rsidR="00A611B9" w:rsidRPr="00A611B9">
              <w:rPr>
                <w:color w:val="000000"/>
                <w:lang w:val="en"/>
              </w:rPr>
              <w:t>.</w:t>
            </w:r>
          </w:p>
          <w:p w:rsidR="00316EB7" w:rsidRDefault="00316EB7" w:rsidP="004C06B4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316EB7">
              <w:rPr>
                <w:b/>
                <w:color w:val="000000"/>
                <w:lang w:val="en"/>
              </w:rPr>
              <w:t xml:space="preserve">By country source, </w:t>
            </w:r>
            <w:r w:rsidRPr="00316EB7">
              <w:rPr>
                <w:color w:val="000000"/>
                <w:lang w:val="en"/>
              </w:rPr>
              <w:t>the combined remittances from the</w:t>
            </w:r>
            <w:r>
              <w:rPr>
                <w:color w:val="000000"/>
                <w:lang w:val="en"/>
              </w:rPr>
              <w:t xml:space="preserve"> first ten </w:t>
            </w:r>
            <w:r w:rsidRPr="00316EB7">
              <w:rPr>
                <w:color w:val="000000"/>
                <w:lang w:val="en"/>
              </w:rPr>
              <w:t xml:space="preserve">countries accounted for </w:t>
            </w:r>
            <w:r>
              <w:rPr>
                <w:color w:val="000000"/>
                <w:lang w:val="en"/>
              </w:rPr>
              <w:t xml:space="preserve">79.5% </w:t>
            </w:r>
            <w:r w:rsidRPr="00316EB7">
              <w:rPr>
                <w:color w:val="000000"/>
                <w:lang w:val="en"/>
              </w:rPr>
              <w:t>of total cash remittances</w:t>
            </w:r>
            <w:r>
              <w:rPr>
                <w:color w:val="000000"/>
                <w:lang w:val="en"/>
              </w:rPr>
              <w:t xml:space="preserve"> du</w:t>
            </w:r>
            <w:r w:rsidRPr="00316EB7">
              <w:rPr>
                <w:color w:val="000000"/>
                <w:lang w:val="en"/>
              </w:rPr>
              <w:t>ring the period</w:t>
            </w:r>
            <w:r>
              <w:rPr>
                <w:color w:val="000000"/>
                <w:lang w:val="en"/>
              </w:rPr>
              <w:t>:</w:t>
            </w:r>
            <w:r w:rsidRPr="00316EB7">
              <w:rPr>
                <w:color w:val="000000"/>
                <w:lang w:val="en"/>
              </w:rPr>
              <w:t xml:space="preserve"> US</w:t>
            </w:r>
            <w:r>
              <w:rPr>
                <w:color w:val="000000"/>
                <w:lang w:val="en"/>
              </w:rPr>
              <w:t>A</w:t>
            </w:r>
            <w:r w:rsidRPr="00316EB7">
              <w:rPr>
                <w:color w:val="000000"/>
                <w:lang w:val="en"/>
              </w:rPr>
              <w:t>, Saudi Arabia, United Arab Emirates, Japan, Singapore, United Kingdom, Canada, Germany, Qatar and Kuwait.</w:t>
            </w:r>
          </w:p>
          <w:p w:rsidR="00A611B9" w:rsidRPr="00C655CB" w:rsidRDefault="000849CC" w:rsidP="004C06B4">
            <w:pPr>
              <w:spacing w:after="60" w:line="240" w:lineRule="auto"/>
              <w:jc w:val="both"/>
              <w:rPr>
                <w:color w:val="000000"/>
                <w:lang w:val="en"/>
              </w:rPr>
            </w:pPr>
            <w:r w:rsidRPr="000849CC">
              <w:rPr>
                <w:b/>
                <w:color w:val="000000"/>
                <w:lang w:val="en"/>
              </w:rPr>
              <w:t xml:space="preserve">The </w:t>
            </w:r>
            <w:r w:rsidR="00A611B9" w:rsidRPr="000849CC">
              <w:rPr>
                <w:b/>
                <w:color w:val="000000"/>
                <w:lang w:val="en"/>
              </w:rPr>
              <w:t xml:space="preserve">central bank’s </w:t>
            </w:r>
            <w:r w:rsidRPr="000849CC">
              <w:rPr>
                <w:b/>
                <w:color w:val="000000"/>
                <w:lang w:val="en"/>
              </w:rPr>
              <w:t xml:space="preserve">remittances </w:t>
            </w:r>
            <w:r w:rsidR="00A611B9" w:rsidRPr="000849CC">
              <w:rPr>
                <w:b/>
                <w:color w:val="000000"/>
                <w:lang w:val="en"/>
              </w:rPr>
              <w:t xml:space="preserve">growth forecast </w:t>
            </w:r>
            <w:r w:rsidRPr="000849CC">
              <w:rPr>
                <w:b/>
                <w:color w:val="000000"/>
                <w:lang w:val="en"/>
              </w:rPr>
              <w:t xml:space="preserve">for </w:t>
            </w:r>
            <w:r w:rsidR="00A611B9" w:rsidRPr="000849CC">
              <w:rPr>
                <w:b/>
                <w:color w:val="000000"/>
                <w:lang w:val="en"/>
              </w:rPr>
              <w:t>2018</w:t>
            </w:r>
            <w:r w:rsidRPr="000849CC">
              <w:rPr>
                <w:b/>
                <w:color w:val="000000"/>
                <w:lang w:val="en"/>
              </w:rPr>
              <w:t xml:space="preserve"> is 4%</w:t>
            </w:r>
            <w:r w:rsidR="00A611B9" w:rsidRPr="000849CC">
              <w:rPr>
                <w:b/>
                <w:color w:val="000000"/>
                <w:lang w:val="en"/>
              </w:rPr>
              <w:t>.</w:t>
            </w:r>
            <w:r w:rsidR="00A611B9" w:rsidRPr="00A611B9">
              <w:rPr>
                <w:color w:val="000000"/>
                <w:lang w:val="en"/>
              </w:rPr>
              <w:t xml:space="preserve"> Remittances are projected to hit $29 billion.</w:t>
            </w:r>
            <w:r>
              <w:rPr>
                <w:color w:val="000000"/>
                <w:lang w:val="en"/>
              </w:rPr>
              <w:t xml:space="preserve"> In 2017</w:t>
            </w:r>
            <w:r w:rsidR="00A611B9" w:rsidRPr="00A611B9">
              <w:rPr>
                <w:color w:val="000000"/>
                <w:lang w:val="en"/>
              </w:rPr>
              <w:t>, remittances grew by 4.3% to reach $28.06 billion.</w:t>
            </w:r>
          </w:p>
        </w:tc>
      </w:tr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051610" w:rsidRDefault="002019F7" w:rsidP="00AD34DC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051610">
              <w:rPr>
                <w:b/>
                <w:lang w:val="en-GB"/>
              </w:rPr>
              <w:t>F</w:t>
            </w:r>
            <w:r w:rsidR="00AD34DC">
              <w:rPr>
                <w:b/>
                <w:lang w:val="en-GB"/>
              </w:rPr>
              <w:t>DI inflows</w:t>
            </w:r>
          </w:p>
        </w:tc>
        <w:tc>
          <w:tcPr>
            <w:tcW w:w="7229" w:type="dxa"/>
            <w:vAlign w:val="center"/>
          </w:tcPr>
          <w:p w:rsidR="002019F7" w:rsidRDefault="002019F7" w:rsidP="000849CC">
            <w:pPr>
              <w:spacing w:before="60" w:after="60" w:line="240" w:lineRule="auto"/>
              <w:jc w:val="both"/>
              <w:rPr>
                <w:color w:val="000000"/>
                <w:lang w:val="en"/>
              </w:rPr>
            </w:pPr>
            <w:r w:rsidRPr="000849CC">
              <w:rPr>
                <w:b/>
                <w:color w:val="000000"/>
                <w:lang w:val="en"/>
              </w:rPr>
              <w:t>F</w:t>
            </w:r>
            <w:r w:rsidR="00872823">
              <w:rPr>
                <w:b/>
                <w:color w:val="000000"/>
                <w:lang w:val="en"/>
              </w:rPr>
              <w:t>or the first quarter of 2018, F</w:t>
            </w:r>
            <w:r w:rsidRPr="000849CC">
              <w:rPr>
                <w:b/>
                <w:color w:val="000000"/>
                <w:lang w:val="en"/>
              </w:rPr>
              <w:t>DI net inflows</w:t>
            </w:r>
            <w:r w:rsidRPr="00C655CB">
              <w:rPr>
                <w:color w:val="000000"/>
                <w:lang w:val="en"/>
              </w:rPr>
              <w:t xml:space="preserve"> </w:t>
            </w:r>
            <w:r w:rsidRPr="00C655CB">
              <w:rPr>
                <w:b/>
                <w:color w:val="000000"/>
                <w:lang w:val="en"/>
              </w:rPr>
              <w:t xml:space="preserve">rose by </w:t>
            </w:r>
            <w:r w:rsidR="00872823">
              <w:rPr>
                <w:b/>
                <w:color w:val="000000"/>
                <w:lang w:val="en"/>
              </w:rPr>
              <w:t>43.5</w:t>
            </w:r>
            <w:r w:rsidRPr="00C655CB">
              <w:rPr>
                <w:b/>
                <w:color w:val="000000"/>
                <w:lang w:val="en"/>
              </w:rPr>
              <w:t xml:space="preserve"> percent </w:t>
            </w:r>
            <w:r w:rsidR="00872823" w:rsidRPr="00872823">
              <w:rPr>
                <w:b/>
                <w:color w:val="000000"/>
                <w:lang w:val="en"/>
              </w:rPr>
              <w:t xml:space="preserve">year-on-year </w:t>
            </w:r>
            <w:r w:rsidRPr="00C655CB">
              <w:rPr>
                <w:b/>
                <w:color w:val="000000"/>
                <w:lang w:val="en"/>
              </w:rPr>
              <w:t>to US$</w:t>
            </w:r>
            <w:r w:rsidR="00872823">
              <w:rPr>
                <w:b/>
                <w:color w:val="000000"/>
                <w:lang w:val="en"/>
              </w:rPr>
              <w:t>2</w:t>
            </w:r>
            <w:r w:rsidRPr="00C655CB">
              <w:rPr>
                <w:b/>
                <w:color w:val="000000"/>
                <w:lang w:val="en"/>
              </w:rPr>
              <w:t>.</w:t>
            </w:r>
            <w:r w:rsidR="00872823">
              <w:rPr>
                <w:b/>
                <w:color w:val="000000"/>
                <w:lang w:val="en"/>
              </w:rPr>
              <w:t>2</w:t>
            </w:r>
            <w:r w:rsidRPr="00C655CB">
              <w:rPr>
                <w:b/>
                <w:color w:val="000000"/>
                <w:lang w:val="en"/>
              </w:rPr>
              <w:t xml:space="preserve"> billion</w:t>
            </w:r>
            <w:r w:rsidR="00872823">
              <w:rPr>
                <w:b/>
                <w:color w:val="000000"/>
                <w:lang w:val="en"/>
              </w:rPr>
              <w:t xml:space="preserve"> from </w:t>
            </w:r>
            <w:r w:rsidR="00872823" w:rsidRPr="00872823">
              <w:rPr>
                <w:b/>
                <w:color w:val="000000"/>
                <w:lang w:val="en"/>
              </w:rPr>
              <w:t>US$</w:t>
            </w:r>
            <w:r w:rsidR="00872823">
              <w:rPr>
                <w:b/>
                <w:color w:val="000000"/>
                <w:lang w:val="en"/>
              </w:rPr>
              <w:t>1</w:t>
            </w:r>
            <w:r w:rsidR="00872823" w:rsidRPr="00872823">
              <w:rPr>
                <w:b/>
                <w:color w:val="000000"/>
                <w:lang w:val="en"/>
              </w:rPr>
              <w:t>.</w:t>
            </w:r>
            <w:r w:rsidR="00872823">
              <w:rPr>
                <w:b/>
                <w:color w:val="000000"/>
                <w:lang w:val="en"/>
              </w:rPr>
              <w:t>5</w:t>
            </w:r>
            <w:r w:rsidR="00872823" w:rsidRPr="00872823">
              <w:rPr>
                <w:b/>
                <w:color w:val="000000"/>
                <w:lang w:val="en"/>
              </w:rPr>
              <w:t xml:space="preserve"> billion</w:t>
            </w:r>
            <w:r w:rsidR="00872823">
              <w:rPr>
                <w:b/>
                <w:color w:val="000000"/>
                <w:lang w:val="en"/>
              </w:rPr>
              <w:t xml:space="preserve"> in Q1 2017</w:t>
            </w:r>
            <w:r w:rsidRPr="00C655CB">
              <w:rPr>
                <w:color w:val="000000"/>
                <w:lang w:val="en"/>
              </w:rPr>
              <w:t>. The sustained investment inflows reflect investor</w:t>
            </w:r>
            <w:r w:rsidR="00872823">
              <w:rPr>
                <w:color w:val="000000"/>
                <w:lang w:val="en"/>
              </w:rPr>
              <w:t>s’</w:t>
            </w:r>
            <w:r w:rsidRPr="00C655CB">
              <w:rPr>
                <w:color w:val="000000"/>
                <w:lang w:val="en"/>
              </w:rPr>
              <w:t xml:space="preserve"> confidence in the country’s sound macroeconomic fundamentals and </w:t>
            </w:r>
            <w:r w:rsidR="00872823">
              <w:rPr>
                <w:color w:val="000000"/>
                <w:lang w:val="en"/>
              </w:rPr>
              <w:t xml:space="preserve">robust </w:t>
            </w:r>
            <w:r w:rsidRPr="00C655CB">
              <w:rPr>
                <w:color w:val="000000"/>
                <w:lang w:val="en"/>
              </w:rPr>
              <w:t>growth prospects</w:t>
            </w:r>
            <w:r w:rsidR="00904852">
              <w:rPr>
                <w:color w:val="000000"/>
                <w:lang w:val="en"/>
              </w:rPr>
              <w:t>.</w:t>
            </w:r>
            <w:r w:rsidR="00B00DF2">
              <w:rPr>
                <w:color w:val="000000"/>
                <w:lang w:val="en"/>
              </w:rPr>
              <w:t xml:space="preserve"> </w:t>
            </w:r>
            <w:r w:rsidR="00B00DF2" w:rsidRPr="00B00DF2">
              <w:rPr>
                <w:color w:val="000000"/>
                <w:lang w:val="en"/>
              </w:rPr>
              <w:t>Net equity capital increased more than six fold to US$887</w:t>
            </w:r>
            <w:r w:rsidR="00B00DF2">
              <w:rPr>
                <w:color w:val="000000"/>
                <w:lang w:val="en"/>
              </w:rPr>
              <w:t xml:space="preserve"> million, n</w:t>
            </w:r>
            <w:r w:rsidR="00B00DF2" w:rsidRPr="00B00DF2">
              <w:rPr>
                <w:color w:val="000000"/>
                <w:lang w:val="en"/>
              </w:rPr>
              <w:t xml:space="preserve">et investments in debt </w:t>
            </w:r>
            <w:r w:rsidR="00B00DF2" w:rsidRPr="00B00DF2">
              <w:rPr>
                <w:color w:val="000000"/>
                <w:lang w:val="en"/>
              </w:rPr>
              <w:lastRenderedPageBreak/>
              <w:t>instruments reached US$1.1 billion</w:t>
            </w:r>
            <w:r w:rsidR="00B00DF2" w:rsidRPr="00B00DF2">
              <w:rPr>
                <w:lang w:val="en-GB"/>
              </w:rPr>
              <w:t xml:space="preserve"> </w:t>
            </w:r>
            <w:r w:rsidR="00B00DF2">
              <w:rPr>
                <w:lang w:val="en-GB"/>
              </w:rPr>
              <w:t xml:space="preserve">and </w:t>
            </w:r>
            <w:r w:rsidR="00B00DF2" w:rsidRPr="00B00DF2">
              <w:rPr>
                <w:color w:val="000000"/>
                <w:lang w:val="en"/>
              </w:rPr>
              <w:t>reinvestment of earnings was steady at US$193 million</w:t>
            </w:r>
            <w:r w:rsidR="00B00DF2">
              <w:rPr>
                <w:color w:val="000000"/>
                <w:lang w:val="en"/>
              </w:rPr>
              <w:t>.</w:t>
            </w:r>
          </w:p>
          <w:p w:rsidR="00AD34DC" w:rsidRPr="006F1B54" w:rsidRDefault="006F1B54" w:rsidP="00AD34DC">
            <w:pPr>
              <w:spacing w:after="60" w:line="240" w:lineRule="auto"/>
              <w:jc w:val="both"/>
              <w:rPr>
                <w:lang w:val="en-GB"/>
              </w:rPr>
            </w:pPr>
            <w:r w:rsidRPr="00B00DF2">
              <w:rPr>
                <w:b/>
                <w:lang w:val="en-GB"/>
              </w:rPr>
              <w:t>In 2017, FDI net inflows had reached a record high of US$10</w:t>
            </w:r>
            <w:r w:rsidR="00AD34DC" w:rsidRPr="00B00DF2">
              <w:rPr>
                <w:b/>
                <w:lang w:val="en-GB"/>
              </w:rPr>
              <w:t>.</w:t>
            </w:r>
            <w:r w:rsidRPr="00B00DF2">
              <w:rPr>
                <w:b/>
                <w:lang w:val="en-GB"/>
              </w:rPr>
              <w:t>1 billion</w:t>
            </w:r>
            <w:r w:rsidRPr="006F1B54">
              <w:rPr>
                <w:lang w:val="en-GB"/>
              </w:rPr>
              <w:t>, up by 21.4 percent from the year-ago level</w:t>
            </w:r>
            <w:r w:rsidR="00AF6134">
              <w:rPr>
                <w:lang w:val="en-GB"/>
              </w:rPr>
              <w:t>.</w:t>
            </w:r>
          </w:p>
        </w:tc>
      </w:tr>
      <w:tr w:rsidR="00AD34DC" w:rsidRPr="002E782F" w:rsidTr="006F1B54">
        <w:trPr>
          <w:jc w:val="center"/>
        </w:trPr>
        <w:tc>
          <w:tcPr>
            <w:tcW w:w="1838" w:type="dxa"/>
            <w:vAlign w:val="center"/>
          </w:tcPr>
          <w:p w:rsidR="00AD34DC" w:rsidRPr="00904852" w:rsidRDefault="00AD34DC" w:rsidP="005B75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FDI </w:t>
            </w:r>
            <w:proofErr w:type="spellStart"/>
            <w:r>
              <w:rPr>
                <w:b/>
              </w:rPr>
              <w:t>pledges</w:t>
            </w:r>
            <w:proofErr w:type="spellEnd"/>
          </w:p>
        </w:tc>
        <w:tc>
          <w:tcPr>
            <w:tcW w:w="7229" w:type="dxa"/>
            <w:vAlign w:val="center"/>
          </w:tcPr>
          <w:p w:rsidR="00AD34DC" w:rsidRPr="00F32348" w:rsidRDefault="00AD34DC" w:rsidP="00FA16DA">
            <w:pPr>
              <w:spacing w:before="60" w:after="0" w:line="240" w:lineRule="auto"/>
              <w:jc w:val="both"/>
              <w:rPr>
                <w:b/>
                <w:lang w:val="en"/>
              </w:rPr>
            </w:pPr>
            <w:r w:rsidRPr="00AD34DC">
              <w:rPr>
                <w:b/>
                <w:lang w:val="en"/>
              </w:rPr>
              <w:t>Total foreign investments approved in the first quarter of 2018</w:t>
            </w:r>
            <w:r>
              <w:rPr>
                <w:b/>
                <w:lang w:val="en"/>
              </w:rPr>
              <w:t xml:space="preserve"> </w:t>
            </w:r>
            <w:r w:rsidRPr="006F1917">
              <w:rPr>
                <w:lang w:val="en"/>
              </w:rPr>
              <w:t xml:space="preserve">amounted to PhP 14.2 billion (US$273 million), </w:t>
            </w:r>
            <w:r w:rsidRPr="00AD34DC">
              <w:rPr>
                <w:b/>
                <w:lang w:val="en"/>
              </w:rPr>
              <w:t xml:space="preserve">37.9 percent lower compared with </w:t>
            </w:r>
            <w:r w:rsidR="006F1917">
              <w:rPr>
                <w:b/>
                <w:lang w:val="en"/>
              </w:rPr>
              <w:t xml:space="preserve">Q1 2017 </w:t>
            </w:r>
            <w:r w:rsidR="006F1917" w:rsidRPr="006F1917">
              <w:rPr>
                <w:lang w:val="en"/>
              </w:rPr>
              <w:t>(PhP 14.2 billion).</w:t>
            </w:r>
            <w:r w:rsidR="006F1917">
              <w:rPr>
                <w:b/>
                <w:lang w:val="en"/>
              </w:rPr>
              <w:t xml:space="preserve"> </w:t>
            </w:r>
            <w:r w:rsidR="00FA16DA" w:rsidRPr="00FA16DA">
              <w:rPr>
                <w:b/>
                <w:lang w:val="en"/>
              </w:rPr>
              <w:t>Foreign investment accounted for 7</w:t>
            </w:r>
            <w:r w:rsidR="00FA16DA">
              <w:rPr>
                <w:b/>
                <w:lang w:val="en"/>
              </w:rPr>
              <w:t>.</w:t>
            </w:r>
            <w:r w:rsidR="00FA16DA" w:rsidRPr="00FA16DA">
              <w:rPr>
                <w:b/>
                <w:lang w:val="en"/>
              </w:rPr>
              <w:t xml:space="preserve">7 percent </w:t>
            </w:r>
            <w:r w:rsidR="00FA16DA" w:rsidRPr="00FA16DA">
              <w:rPr>
                <w:lang w:val="en"/>
              </w:rPr>
              <w:t xml:space="preserve">of the total </w:t>
            </w:r>
            <w:r w:rsidR="006F1917" w:rsidRPr="00FA16DA">
              <w:rPr>
                <w:lang w:val="en"/>
              </w:rPr>
              <w:t xml:space="preserve">approved investments (foreign and national) </w:t>
            </w:r>
            <w:r w:rsidR="00FA16DA">
              <w:rPr>
                <w:lang w:val="en"/>
              </w:rPr>
              <w:t xml:space="preserve">which </w:t>
            </w:r>
            <w:r w:rsidR="006F1917" w:rsidRPr="00FA16DA">
              <w:rPr>
                <w:lang w:val="en"/>
              </w:rPr>
              <w:t xml:space="preserve">grew by 52.3 percent (PhP 185.0 billion) </w:t>
            </w:r>
          </w:p>
        </w:tc>
      </w:tr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6F1917" w:rsidRDefault="002019F7" w:rsidP="002019F7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6F1917">
              <w:rPr>
                <w:b/>
                <w:lang w:val="en-GB"/>
              </w:rPr>
              <w:t>Infrastructure spending</w:t>
            </w:r>
          </w:p>
        </w:tc>
        <w:tc>
          <w:tcPr>
            <w:tcW w:w="7229" w:type="dxa"/>
            <w:vAlign w:val="center"/>
          </w:tcPr>
          <w:p w:rsidR="00904852" w:rsidRPr="00F32348" w:rsidRDefault="002019F7" w:rsidP="00D54AD1">
            <w:pPr>
              <w:spacing w:before="60" w:after="0" w:line="240" w:lineRule="auto"/>
              <w:jc w:val="both"/>
              <w:rPr>
                <w:lang w:val="en"/>
              </w:rPr>
            </w:pPr>
            <w:r w:rsidRPr="00F32348">
              <w:rPr>
                <w:b/>
                <w:lang w:val="en"/>
              </w:rPr>
              <w:t xml:space="preserve">Infrastructure spending up </w:t>
            </w:r>
            <w:r w:rsidR="004015D4">
              <w:rPr>
                <w:b/>
                <w:lang w:val="en"/>
              </w:rPr>
              <w:t>34</w:t>
            </w:r>
            <w:r w:rsidRPr="00F32348">
              <w:rPr>
                <w:b/>
                <w:lang w:val="en"/>
              </w:rPr>
              <w:t xml:space="preserve">% in </w:t>
            </w:r>
            <w:r w:rsidR="00EC7A77">
              <w:rPr>
                <w:b/>
                <w:lang w:val="en"/>
              </w:rPr>
              <w:t xml:space="preserve">Q1 </w:t>
            </w:r>
            <w:r w:rsidRPr="00F32348">
              <w:rPr>
                <w:b/>
                <w:lang w:val="en"/>
              </w:rPr>
              <w:t>201</w:t>
            </w:r>
            <w:r w:rsidR="00EC7A77">
              <w:rPr>
                <w:b/>
                <w:lang w:val="en"/>
              </w:rPr>
              <w:t>8</w:t>
            </w:r>
            <w:r w:rsidRPr="00F32348">
              <w:rPr>
                <w:b/>
                <w:lang w:val="en"/>
              </w:rPr>
              <w:t>.</w:t>
            </w:r>
            <w:r w:rsidR="00EC33C9">
              <w:rPr>
                <w:b/>
                <w:lang w:val="en"/>
              </w:rPr>
              <w:t xml:space="preserve"> </w:t>
            </w:r>
            <w:r w:rsidR="00EC7A77" w:rsidRPr="00EC7A77">
              <w:rPr>
                <w:lang w:val="en"/>
              </w:rPr>
              <w:t>For the first quarter</w:t>
            </w:r>
            <w:r w:rsidR="00EC7A77">
              <w:rPr>
                <w:lang w:val="en"/>
              </w:rPr>
              <w:t xml:space="preserve"> of 2018, government spending increased by 27%,</w:t>
            </w:r>
            <w:r w:rsidR="00151D1D" w:rsidRPr="00151D1D">
              <w:rPr>
                <w:lang w:val="en-GB"/>
              </w:rPr>
              <w:t xml:space="preserve"> </w:t>
            </w:r>
            <w:r w:rsidR="00151D1D" w:rsidRPr="00151D1D">
              <w:rPr>
                <w:lang w:val="en"/>
              </w:rPr>
              <w:t xml:space="preserve">exceeding the </w:t>
            </w:r>
            <w:r w:rsidR="00151D1D">
              <w:rPr>
                <w:lang w:val="en"/>
              </w:rPr>
              <w:t>target by 3.</w:t>
            </w:r>
            <w:r w:rsidR="00151D1D" w:rsidRPr="00151D1D">
              <w:rPr>
                <w:lang w:val="en"/>
              </w:rPr>
              <w:t>5%</w:t>
            </w:r>
            <w:r w:rsidR="00151D1D">
              <w:rPr>
                <w:lang w:val="en"/>
              </w:rPr>
              <w:t>. I</w:t>
            </w:r>
            <w:r w:rsidR="00EC7A77">
              <w:rPr>
                <w:lang w:val="en"/>
              </w:rPr>
              <w:t xml:space="preserve">nfrastructure and capital outlays </w:t>
            </w:r>
            <w:r w:rsidR="00151D1D">
              <w:rPr>
                <w:lang w:val="en"/>
              </w:rPr>
              <w:t>increased by</w:t>
            </w:r>
            <w:r w:rsidR="00EC7A77">
              <w:rPr>
                <w:lang w:val="en"/>
              </w:rPr>
              <w:t xml:space="preserve"> 34% (</w:t>
            </w:r>
            <w:r w:rsidR="00AF6134">
              <w:rPr>
                <w:color w:val="000000"/>
                <w:lang w:val="en"/>
              </w:rPr>
              <w:t>US$</w:t>
            </w:r>
            <w:r w:rsidR="00151D1D">
              <w:rPr>
                <w:color w:val="000000"/>
                <w:lang w:val="en"/>
              </w:rPr>
              <w:t>3</w:t>
            </w:r>
            <w:r>
              <w:rPr>
                <w:color w:val="000000"/>
                <w:lang w:val="en"/>
              </w:rPr>
              <w:t xml:space="preserve"> billion</w:t>
            </w:r>
            <w:r w:rsidR="00151D1D">
              <w:rPr>
                <w:color w:val="000000"/>
                <w:lang w:val="en"/>
              </w:rPr>
              <w:t>)</w:t>
            </w:r>
            <w:r>
              <w:rPr>
                <w:color w:val="000000"/>
                <w:lang w:val="en"/>
              </w:rPr>
              <w:t xml:space="preserve">, </w:t>
            </w:r>
            <w:r w:rsidR="00151D1D">
              <w:rPr>
                <w:color w:val="000000"/>
                <w:lang w:val="en"/>
              </w:rPr>
              <w:t>in excess of by 9.6% of the government target and accounting for 20% of total public spending.</w:t>
            </w:r>
          </w:p>
        </w:tc>
      </w:tr>
      <w:tr w:rsidR="002019F7" w:rsidRPr="002E782F" w:rsidTr="006F1B54">
        <w:trPr>
          <w:jc w:val="center"/>
        </w:trPr>
        <w:tc>
          <w:tcPr>
            <w:tcW w:w="1838" w:type="dxa"/>
            <w:vAlign w:val="center"/>
          </w:tcPr>
          <w:p w:rsidR="002019F7" w:rsidRPr="00F32348" w:rsidRDefault="002019F7" w:rsidP="002019F7">
            <w:pPr>
              <w:spacing w:after="0" w:line="240" w:lineRule="auto"/>
              <w:jc w:val="center"/>
              <w:rPr>
                <w:lang w:val="en-GB"/>
              </w:rPr>
            </w:pPr>
            <w:r w:rsidRPr="00904852">
              <w:rPr>
                <w:b/>
                <w:lang w:val="en-GB"/>
              </w:rPr>
              <w:t>Government deb</w:t>
            </w:r>
            <w:r>
              <w:rPr>
                <w:lang w:val="en-GB"/>
              </w:rPr>
              <w:t>t</w:t>
            </w:r>
          </w:p>
        </w:tc>
        <w:tc>
          <w:tcPr>
            <w:tcW w:w="7229" w:type="dxa"/>
            <w:vAlign w:val="center"/>
          </w:tcPr>
          <w:p w:rsidR="002019F7" w:rsidRDefault="009E31A7" w:rsidP="000849CC">
            <w:pPr>
              <w:spacing w:before="60" w:after="120" w:line="240" w:lineRule="auto"/>
              <w:jc w:val="both"/>
              <w:rPr>
                <w:color w:val="000000"/>
                <w:lang w:val="en"/>
              </w:rPr>
            </w:pPr>
            <w:r>
              <w:rPr>
                <w:rFonts w:cs="Arial"/>
                <w:lang w:val="en-US"/>
              </w:rPr>
              <w:t xml:space="preserve">Government </w:t>
            </w:r>
            <w:r w:rsidRPr="009E31A7">
              <w:rPr>
                <w:rFonts w:cs="Arial"/>
                <w:b/>
                <w:lang w:val="en-US"/>
              </w:rPr>
              <w:t>debt as a percentage of gross domestic product rose from a year earlier to 56.2%</w:t>
            </w:r>
            <w:r>
              <w:rPr>
                <w:rFonts w:cs="Arial"/>
                <w:lang w:val="en-US"/>
              </w:rPr>
              <w:t xml:space="preserve"> in the first quarter</w:t>
            </w:r>
            <w:r w:rsidR="009000E8">
              <w:rPr>
                <w:rFonts w:cs="Arial"/>
                <w:lang w:val="en-US"/>
              </w:rPr>
              <w:t xml:space="preserve"> of 2018</w:t>
            </w:r>
            <w:r>
              <w:rPr>
                <w:rFonts w:cs="Arial"/>
                <w:lang w:val="en-US"/>
              </w:rPr>
              <w:t xml:space="preserve"> amid an increase in borrowing ahead of higher US interest rates</w:t>
            </w:r>
            <w:r w:rsidR="009000E8">
              <w:rPr>
                <w:color w:val="000000"/>
                <w:lang w:val="en"/>
              </w:rPr>
              <w:t>.</w:t>
            </w:r>
          </w:p>
          <w:p w:rsidR="0019130E" w:rsidRPr="00C6077E" w:rsidRDefault="0019130E" w:rsidP="00163468">
            <w:pPr>
              <w:spacing w:after="120" w:line="240" w:lineRule="auto"/>
              <w:jc w:val="both"/>
              <w:rPr>
                <w:color w:val="000000"/>
                <w:lang w:val="en"/>
              </w:rPr>
            </w:pPr>
            <w:r>
              <w:rPr>
                <w:rFonts w:cs="Arial"/>
                <w:lang w:val="en-US"/>
              </w:rPr>
              <w:t>However, net debt-GDP ratio which nets out the NG cash balance from the debt level, dropped from 40.1% to 39.6%</w:t>
            </w:r>
          </w:p>
        </w:tc>
      </w:tr>
    </w:tbl>
    <w:p w:rsidR="005C5FB8" w:rsidRPr="002019F7" w:rsidRDefault="005C5FB8">
      <w:pPr>
        <w:rPr>
          <w:rFonts w:ascii="Arial" w:hAnsi="Arial"/>
          <w:lang w:val="en-GB"/>
        </w:rPr>
      </w:pPr>
    </w:p>
    <w:sectPr w:rsidR="005C5FB8" w:rsidRPr="002019F7" w:rsidSect="006F1B54">
      <w:footerReference w:type="default" r:id="rId6"/>
      <w:headerReference w:type="first" r:id="rId7"/>
      <w:footerReference w:type="first" r:id="rId8"/>
      <w:pgSz w:w="11909" w:h="16834" w:code="9"/>
      <w:pgMar w:top="1418" w:right="1134" w:bottom="1418" w:left="1134" w:header="272" w:footer="533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DE" w:rsidRDefault="001844DE">
      <w:r>
        <w:separator/>
      </w:r>
    </w:p>
  </w:endnote>
  <w:endnote w:type="continuationSeparator" w:id="0">
    <w:p w:rsidR="001844DE" w:rsidRDefault="0018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Pr="00C64EF2" w:rsidRDefault="00B46747" w:rsidP="007F6043">
    <w:pPr>
      <w:pStyle w:val="Pieddepage"/>
      <w:jc w:val="center"/>
      <w:rPr>
        <w:rFonts w:ascii="Arial" w:hAnsi="Arial"/>
        <w:b w:val="0"/>
      </w:rPr>
    </w:pPr>
    <w:r>
      <w:rPr>
        <w:rFonts w:ascii="Arial" w:hAnsi="Arial"/>
        <w:b w:val="0"/>
      </w:rPr>
      <w:t xml:space="preserve"> -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Default="002019F7" w:rsidP="00B46747">
    <w:pPr>
      <w:pStyle w:val="Pieddepage"/>
      <w:tabs>
        <w:tab w:val="left" w:pos="8106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-474980</wp:posOffset>
              </wp:positionV>
              <wp:extent cx="4445000" cy="728980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0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747" w:rsidRPr="00D660A1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</w:pPr>
                          <w:bookmarkStart w:id="2" w:name="AdresseEntete"/>
                          <w:bookmarkEnd w:id="2"/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Rufino Pacific Tower - Units 34 A &amp; B, 6784 Ayala Avenue</w:t>
                          </w:r>
                        </w:p>
                        <w:p w:rsidR="00B46747" w:rsidRPr="00D660A1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Makati City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– </w:t>
                          </w: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MCPO 1299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Philippines</w:t>
                          </w:r>
                        </w:p>
                        <w:p w:rsidR="00C111A9" w:rsidRPr="002019F7" w:rsidRDefault="00B46747" w:rsidP="0015022C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D660A1"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Tel.: +63 2 811 10 01 - htt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en-US"/>
                            </w:rPr>
                            <w:t>p://www.tresor.economie.gouv.fr/se/philippines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-37.4pt;width:350pt;height:57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" stroked="f">
              <v:textbox>
                <w:txbxContent>
                  <w:p w:rsidR="00B46747" w:rsidRPr="00D660A1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</w:pPr>
                    <w:bookmarkStart w:id="3" w:name="AdresseEntete"/>
                    <w:bookmarkEnd w:id="3"/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Rufino Pacific Tower - Units 34 A &amp; B, 6784 Ayala Avenue</w:t>
                    </w:r>
                  </w:p>
                  <w:p w:rsidR="00B46747" w:rsidRPr="00D660A1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</w:pP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Makati City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– </w:t>
                    </w: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MCPO 1299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 xml:space="preserve"> - </w:t>
                    </w: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Philippines</w:t>
                    </w:r>
                  </w:p>
                  <w:p w:rsidR="00C111A9" w:rsidRPr="002019F7" w:rsidRDefault="00B46747" w:rsidP="0015022C">
                    <w:pPr>
                      <w:spacing w:after="0"/>
                      <w:jc w:val="center"/>
                      <w:rPr>
                        <w:rFonts w:ascii="Arial" w:hAnsi="Arial"/>
                        <w:sz w:val="16"/>
                        <w:szCs w:val="16"/>
                        <w:lang w:val="en-GB"/>
                      </w:rPr>
                    </w:pPr>
                    <w:r w:rsidRPr="00D660A1"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Tel.: +63 2 811 10 01 - htt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p://www.tresor.economie.gouv.fr/se/philippines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-475615</wp:posOffset>
              </wp:positionV>
              <wp:extent cx="6413500" cy="0"/>
              <wp:effectExtent l="0" t="0" r="0" b="0"/>
              <wp:wrapNone/>
              <wp:docPr id="2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84A58" id="Lin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7.45pt" to="478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9j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Rh9b0xpUQsVI7G4qjZ/Vitpp+d0jpVUvUgUeKrxcDeVnISN6khI0zcMG+/6wZxJCj17FP&#10;58Z2ARI6gM5RjstdDn72iMLhtMieJi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DE" w:rsidRDefault="001844DE">
      <w:r>
        <w:separator/>
      </w:r>
    </w:p>
  </w:footnote>
  <w:footnote w:type="continuationSeparator" w:id="0">
    <w:p w:rsidR="001844DE" w:rsidRDefault="00184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86" w:rsidRDefault="002019F7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914400" cy="542925"/>
          <wp:effectExtent l="0" t="0" r="0" b="9525"/>
          <wp:docPr id="1" name="Image 1" descr="MariannePanto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annePanto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6747" w:rsidRPr="00E06B62" w:rsidRDefault="00B46747" w:rsidP="0015022C">
    <w:pPr>
      <w:pStyle w:val="En-tte"/>
      <w:spacing w:after="120"/>
      <w:jc w:val="center"/>
      <w:rPr>
        <w:rFonts w:ascii="Arial" w:hAnsi="Arial"/>
        <w:b/>
        <w:smallCaps/>
        <w:sz w:val="24"/>
        <w:szCs w:val="24"/>
      </w:rPr>
    </w:pPr>
    <w:r w:rsidRPr="00E06B62">
      <w:rPr>
        <w:rFonts w:ascii="Arial" w:hAnsi="Arial"/>
        <w:b/>
        <w:smallCaps/>
        <w:sz w:val="24"/>
        <w:szCs w:val="24"/>
      </w:rPr>
      <w:t>Ambassade de France aux Philippines</w:t>
    </w:r>
  </w:p>
  <w:p w:rsidR="00D34486" w:rsidRDefault="00B46747" w:rsidP="00357F74">
    <w:pPr>
      <w:pStyle w:val="En-tte"/>
      <w:spacing w:after="120"/>
      <w:jc w:val="center"/>
    </w:pPr>
    <w:r w:rsidRPr="00E06B62">
      <w:rPr>
        <w:rFonts w:ascii="Arial" w:hAnsi="Arial"/>
        <w:b/>
        <w:smallCaps/>
        <w:sz w:val="24"/>
        <w:szCs w:val="24"/>
      </w:rPr>
      <w:t>Service Economique</w:t>
    </w:r>
    <w:bookmarkStart w:id="1" w:name="Entête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F7"/>
    <w:rsid w:val="00015299"/>
    <w:rsid w:val="000318EA"/>
    <w:rsid w:val="00051610"/>
    <w:rsid w:val="000849CC"/>
    <w:rsid w:val="00095B9A"/>
    <w:rsid w:val="000D7531"/>
    <w:rsid w:val="001210CF"/>
    <w:rsid w:val="0015022C"/>
    <w:rsid w:val="00151D1D"/>
    <w:rsid w:val="00163468"/>
    <w:rsid w:val="001844DE"/>
    <w:rsid w:val="0019130E"/>
    <w:rsid w:val="001C0D64"/>
    <w:rsid w:val="002019F7"/>
    <w:rsid w:val="002165B3"/>
    <w:rsid w:val="00282FB0"/>
    <w:rsid w:val="002B051C"/>
    <w:rsid w:val="002D099D"/>
    <w:rsid w:val="002E541B"/>
    <w:rsid w:val="002E782F"/>
    <w:rsid w:val="00310253"/>
    <w:rsid w:val="00316EB7"/>
    <w:rsid w:val="00357F74"/>
    <w:rsid w:val="00361AC1"/>
    <w:rsid w:val="00384ECE"/>
    <w:rsid w:val="003A6330"/>
    <w:rsid w:val="003D6BAD"/>
    <w:rsid w:val="004015D4"/>
    <w:rsid w:val="00421350"/>
    <w:rsid w:val="00437919"/>
    <w:rsid w:val="00443B95"/>
    <w:rsid w:val="00455E43"/>
    <w:rsid w:val="00464C57"/>
    <w:rsid w:val="004C06B4"/>
    <w:rsid w:val="00576D00"/>
    <w:rsid w:val="005B7533"/>
    <w:rsid w:val="005C5FB8"/>
    <w:rsid w:val="0061150A"/>
    <w:rsid w:val="00615321"/>
    <w:rsid w:val="00623033"/>
    <w:rsid w:val="00673385"/>
    <w:rsid w:val="00681B93"/>
    <w:rsid w:val="00692723"/>
    <w:rsid w:val="006A38EB"/>
    <w:rsid w:val="006A4ADB"/>
    <w:rsid w:val="006B2326"/>
    <w:rsid w:val="006B56DD"/>
    <w:rsid w:val="006F1917"/>
    <w:rsid w:val="006F1B54"/>
    <w:rsid w:val="00747662"/>
    <w:rsid w:val="007479BB"/>
    <w:rsid w:val="00747C1E"/>
    <w:rsid w:val="00747C91"/>
    <w:rsid w:val="007555DC"/>
    <w:rsid w:val="00793A34"/>
    <w:rsid w:val="00796EA5"/>
    <w:rsid w:val="007B4BA9"/>
    <w:rsid w:val="007D47F8"/>
    <w:rsid w:val="007F6043"/>
    <w:rsid w:val="0081604B"/>
    <w:rsid w:val="00821943"/>
    <w:rsid w:val="00824FEC"/>
    <w:rsid w:val="00872823"/>
    <w:rsid w:val="008D658F"/>
    <w:rsid w:val="008D672E"/>
    <w:rsid w:val="008E63D1"/>
    <w:rsid w:val="009000E8"/>
    <w:rsid w:val="009037BB"/>
    <w:rsid w:val="00904852"/>
    <w:rsid w:val="00910DC7"/>
    <w:rsid w:val="009172AD"/>
    <w:rsid w:val="00937C5E"/>
    <w:rsid w:val="009D2CE7"/>
    <w:rsid w:val="009E0F65"/>
    <w:rsid w:val="009E31A7"/>
    <w:rsid w:val="00A22992"/>
    <w:rsid w:val="00A5082A"/>
    <w:rsid w:val="00A611B9"/>
    <w:rsid w:val="00A80662"/>
    <w:rsid w:val="00A9217C"/>
    <w:rsid w:val="00AB1DF3"/>
    <w:rsid w:val="00AC21FC"/>
    <w:rsid w:val="00AD2A01"/>
    <w:rsid w:val="00AD34DC"/>
    <w:rsid w:val="00AD5C56"/>
    <w:rsid w:val="00AE5FD7"/>
    <w:rsid w:val="00AF6134"/>
    <w:rsid w:val="00AF79C3"/>
    <w:rsid w:val="00B00DF2"/>
    <w:rsid w:val="00B24F0E"/>
    <w:rsid w:val="00B4547B"/>
    <w:rsid w:val="00B46747"/>
    <w:rsid w:val="00B77735"/>
    <w:rsid w:val="00B97277"/>
    <w:rsid w:val="00BB3304"/>
    <w:rsid w:val="00BF505E"/>
    <w:rsid w:val="00C111A9"/>
    <w:rsid w:val="00C64842"/>
    <w:rsid w:val="00C64EF2"/>
    <w:rsid w:val="00D266BA"/>
    <w:rsid w:val="00D34486"/>
    <w:rsid w:val="00D54AD1"/>
    <w:rsid w:val="00D757A2"/>
    <w:rsid w:val="00DA3AF5"/>
    <w:rsid w:val="00DA5766"/>
    <w:rsid w:val="00DC7954"/>
    <w:rsid w:val="00DD582E"/>
    <w:rsid w:val="00E6167C"/>
    <w:rsid w:val="00E9023F"/>
    <w:rsid w:val="00E91E00"/>
    <w:rsid w:val="00EC33C9"/>
    <w:rsid w:val="00EC6141"/>
    <w:rsid w:val="00EC784E"/>
    <w:rsid w:val="00EC7A77"/>
    <w:rsid w:val="00F0269F"/>
    <w:rsid w:val="00F6382E"/>
    <w:rsid w:val="00F810C5"/>
    <w:rsid w:val="00F936F1"/>
    <w:rsid w:val="00F9703C"/>
    <w:rsid w:val="00FA16DA"/>
    <w:rsid w:val="00FB3C53"/>
    <w:rsid w:val="00F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525C8AC-D569-48FD-8865-3C104A1E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F7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Univers" w:hAnsi="Univers"/>
      <w:b/>
      <w:sz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En-tteCar">
    <w:name w:val="En-tête Car"/>
    <w:link w:val="En-tte"/>
    <w:uiPriority w:val="99"/>
    <w:rsid w:val="00B46747"/>
    <w:rPr>
      <w:rFonts w:cs="Arial"/>
      <w:sz w:val="23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201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od&#232;les\En-t&#234;te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En-tête_FR.dot</Template>
  <TotalTime>179</TotalTime>
  <Pages>2</Pages>
  <Words>636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d'en-tête - Français</vt:lpstr>
    </vt:vector>
  </TitlesOfParts>
  <Manager> </Manager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d'en-tête - Français</dc:title>
  <dc:subject>Modèles de Missions Economiques</dc:subject>
  <dc:creator>GRIFFITHS Emilie</dc:creator>
  <cp:keywords/>
  <dc:description/>
  <cp:lastModifiedBy>ESTRADE Laurent</cp:lastModifiedBy>
  <cp:revision>19</cp:revision>
  <cp:lastPrinted>2002-11-17T07:47:00Z</cp:lastPrinted>
  <dcterms:created xsi:type="dcterms:W3CDTF">2018-06-05T03:42:00Z</dcterms:created>
  <dcterms:modified xsi:type="dcterms:W3CDTF">2018-06-21T07:58:00Z</dcterms:modified>
  <cp:category>Modèles de bureautique - Octobre 2006</cp:category>
</cp:coreProperties>
</file>