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89FF2" w14:textId="24283CF7" w:rsidR="0021111A" w:rsidRPr="00100C2A" w:rsidRDefault="00BB65E4" w:rsidP="00A626A2">
      <w:pPr>
        <w:pStyle w:val="Titre"/>
        <w:rPr>
          <w:rFonts w:cs="Arial"/>
        </w:rPr>
      </w:pPr>
      <w:r w:rsidRPr="00100C2A">
        <w:rPr>
          <w:rFonts w:cs="Arial"/>
        </w:rPr>
        <w:t xml:space="preserve">Les échanges commerciaux entre la France et </w:t>
      </w:r>
      <w:r w:rsidR="004106D1" w:rsidRPr="00100C2A">
        <w:rPr>
          <w:rFonts w:cs="Arial"/>
        </w:rPr>
        <w:t>le Monténégro</w:t>
      </w:r>
      <w:r w:rsidR="00E039E4">
        <w:rPr>
          <w:rFonts w:cs="Arial"/>
        </w:rPr>
        <w:t xml:space="preserve"> en 2017</w:t>
      </w:r>
    </w:p>
    <w:p w14:paraId="3D3CD151" w14:textId="0979A7E9" w:rsidR="00317D2F" w:rsidRPr="00100C2A" w:rsidRDefault="00DC6450" w:rsidP="00F560D9">
      <w:pPr>
        <w:pStyle w:val="Titre4"/>
        <w:spacing w:after="0"/>
        <w:rPr>
          <w:rFonts w:cs="Arial"/>
          <w:szCs w:val="20"/>
        </w:rPr>
      </w:pPr>
      <w:bookmarkStart w:id="0" w:name="anActuHead"/>
      <w:bookmarkEnd w:id="0"/>
      <w:r w:rsidRPr="00100C2A">
        <w:rPr>
          <w:rFonts w:cs="Arial"/>
        </w:rPr>
        <w:t xml:space="preserve">La France enregistre un excédent commercial avec le Monténégro depuis son indépendance en 2006. Cet excédent </w:t>
      </w:r>
      <w:r w:rsidR="009E3933">
        <w:rPr>
          <w:rFonts w:cs="Arial"/>
        </w:rPr>
        <w:t xml:space="preserve">a plus que doublé en </w:t>
      </w:r>
      <w:r w:rsidR="00205C59">
        <w:rPr>
          <w:rFonts w:cs="Arial"/>
        </w:rPr>
        <w:t>2017</w:t>
      </w:r>
      <w:r w:rsidR="009E3933">
        <w:rPr>
          <w:rFonts w:cs="Arial"/>
        </w:rPr>
        <w:t xml:space="preserve"> par rapport à l’année précédente</w:t>
      </w:r>
      <w:r w:rsidR="00205C59">
        <w:rPr>
          <w:rFonts w:cs="Arial"/>
        </w:rPr>
        <w:t xml:space="preserve">, augmentation expliquée </w:t>
      </w:r>
      <w:r w:rsidR="003F77B3">
        <w:rPr>
          <w:rFonts w:cs="Arial"/>
        </w:rPr>
        <w:t xml:space="preserve">en grande partie </w:t>
      </w:r>
      <w:r w:rsidR="00205C59">
        <w:rPr>
          <w:rFonts w:cs="Arial"/>
        </w:rPr>
        <w:t>par l’exportation de véhicules automobiles</w:t>
      </w:r>
      <w:r w:rsidRPr="00100C2A">
        <w:rPr>
          <w:rFonts w:cs="Arial"/>
        </w:rPr>
        <w:t>. L</w:t>
      </w:r>
      <w:r w:rsidR="003F77B3">
        <w:rPr>
          <w:rFonts w:cs="Arial"/>
        </w:rPr>
        <w:t>a France est le 10</w:t>
      </w:r>
      <w:r w:rsidR="003F77B3" w:rsidRPr="003F77B3">
        <w:rPr>
          <w:rFonts w:cs="Arial"/>
          <w:vertAlign w:val="superscript"/>
        </w:rPr>
        <w:t>ème</w:t>
      </w:r>
      <w:r w:rsidR="003F77B3">
        <w:rPr>
          <w:rFonts w:cs="Arial"/>
        </w:rPr>
        <w:t xml:space="preserve"> partenaire commercial du Monténégro</w:t>
      </w:r>
      <w:r w:rsidRPr="00100C2A">
        <w:rPr>
          <w:rFonts w:cs="Arial"/>
        </w:rPr>
        <w:t>.</w:t>
      </w:r>
      <w:r w:rsidR="000F0ABD">
        <w:rPr>
          <w:rFonts w:cs="Arial"/>
        </w:rPr>
        <w:t xml:space="preserve"> </w:t>
      </w:r>
      <w:r w:rsidRPr="00100C2A">
        <w:rPr>
          <w:rFonts w:cs="Arial"/>
        </w:rPr>
        <w:t>Les importations en provenance du Monténégro, généralement comprises entre 2,5 et 6 M EUR par an depuis 2007, sont stables, alors que les exportations sont erratiques, tant en volume que dans leur composition. La faiblesse des échanges bilatéraux permet d’expliquer cette errance des exportations, qui reflètent plus la conclusion de contrats ponctuels que l’existence de relations commerciales stables.</w:t>
      </w:r>
    </w:p>
    <w:p w14:paraId="6136F86D" w14:textId="669662EC" w:rsidR="00DC6450" w:rsidRPr="00100C2A" w:rsidRDefault="00DC6450" w:rsidP="00DC6450">
      <w:pPr>
        <w:pStyle w:val="Titre1"/>
        <w:jc w:val="both"/>
        <w:rPr>
          <w:rFonts w:cs="Arial"/>
          <w:sz w:val="28"/>
        </w:rPr>
      </w:pPr>
      <w:r w:rsidRPr="00100C2A">
        <w:rPr>
          <w:rFonts w:cs="Arial"/>
          <w:sz w:val="28"/>
        </w:rPr>
        <w:t>La France enregistre un solde commercial excédentaire envers le Monténégro</w:t>
      </w:r>
      <w:r w:rsidR="001C643E">
        <w:rPr>
          <w:rFonts w:cs="Arial"/>
          <w:sz w:val="28"/>
        </w:rPr>
        <w:t>,</w:t>
      </w:r>
      <w:r w:rsidRPr="00100C2A">
        <w:rPr>
          <w:rFonts w:cs="Arial"/>
          <w:sz w:val="28"/>
        </w:rPr>
        <w:t xml:space="preserve"> </w:t>
      </w:r>
      <w:r w:rsidR="004B6009">
        <w:rPr>
          <w:rFonts w:cs="Arial"/>
          <w:sz w:val="28"/>
        </w:rPr>
        <w:t>en hausse par rapport</w:t>
      </w:r>
      <w:r w:rsidR="00210DDA">
        <w:rPr>
          <w:rFonts w:cs="Arial"/>
          <w:sz w:val="28"/>
        </w:rPr>
        <w:t xml:space="preserve"> aux années précédents</w:t>
      </w:r>
    </w:p>
    <w:p w14:paraId="14E54BEF" w14:textId="77777777" w:rsidR="00DC6450" w:rsidRPr="00100C2A" w:rsidRDefault="00DC6450" w:rsidP="00DC6450">
      <w:pPr>
        <w:spacing w:after="0" w:line="240" w:lineRule="auto"/>
        <w:jc w:val="both"/>
        <w:rPr>
          <w:rFonts w:cs="Arial"/>
          <w:sz w:val="12"/>
          <w:szCs w:val="12"/>
        </w:rPr>
      </w:pPr>
    </w:p>
    <w:p w14:paraId="3B9EDD9A" w14:textId="7372F19D" w:rsidR="00DC6450" w:rsidRPr="00100C2A" w:rsidRDefault="00DC6450" w:rsidP="00F560D9">
      <w:pPr>
        <w:spacing w:after="0"/>
        <w:jc w:val="both"/>
        <w:rPr>
          <w:rFonts w:cs="Arial"/>
        </w:rPr>
      </w:pPr>
      <w:r w:rsidRPr="00100C2A">
        <w:rPr>
          <w:rFonts w:cs="Arial"/>
        </w:rPr>
        <w:t xml:space="preserve">Les relations commerciales entre la France et le Monténégro sont encore très limitées, le Monténégro étant un petit pays, indépendant depuis peu et relativement peu connu de nos entreprises. </w:t>
      </w:r>
      <w:r w:rsidRPr="00100C2A">
        <w:rPr>
          <w:rFonts w:cs="Arial"/>
          <w:b/>
        </w:rPr>
        <w:t xml:space="preserve">Les échanges commerciaux entre la France et le Monténégro s’élèvent à </w:t>
      </w:r>
      <w:r w:rsidR="004B6009">
        <w:rPr>
          <w:rFonts w:cs="Arial"/>
          <w:b/>
        </w:rPr>
        <w:t>32</w:t>
      </w:r>
      <w:r w:rsidRPr="00100C2A">
        <w:rPr>
          <w:rFonts w:eastAsia="Times New Roman" w:cs="Arial"/>
          <w:b/>
          <w:lang w:eastAsia="fr-FR"/>
        </w:rPr>
        <w:t>,6 M</w:t>
      </w:r>
      <w:r w:rsidRPr="00100C2A">
        <w:rPr>
          <w:rFonts w:eastAsia="Times New Roman" w:cs="Arial"/>
          <w:lang w:eastAsia="fr-FR"/>
        </w:rPr>
        <w:t xml:space="preserve"> </w:t>
      </w:r>
      <w:r w:rsidRPr="00100C2A">
        <w:rPr>
          <w:rFonts w:cs="Arial"/>
          <w:b/>
        </w:rPr>
        <w:t>EUR en 201</w:t>
      </w:r>
      <w:r w:rsidR="004B6009">
        <w:rPr>
          <w:rFonts w:cs="Arial"/>
          <w:b/>
        </w:rPr>
        <w:t>7</w:t>
      </w:r>
      <w:r w:rsidRPr="00100C2A">
        <w:rPr>
          <w:rFonts w:cs="Arial"/>
          <w:b/>
        </w:rPr>
        <w:t xml:space="preserve">, en </w:t>
      </w:r>
      <w:r w:rsidR="004B6009">
        <w:rPr>
          <w:rFonts w:cs="Arial"/>
          <w:b/>
        </w:rPr>
        <w:t>augmentation</w:t>
      </w:r>
      <w:r w:rsidRPr="00100C2A">
        <w:rPr>
          <w:rFonts w:cs="Arial"/>
          <w:b/>
        </w:rPr>
        <w:t xml:space="preserve"> </w:t>
      </w:r>
      <w:r w:rsidR="004B6009">
        <w:rPr>
          <w:rFonts w:cs="Arial"/>
          <w:b/>
        </w:rPr>
        <w:t>de p</w:t>
      </w:r>
      <w:r w:rsidR="00E72A2A">
        <w:rPr>
          <w:rFonts w:cs="Arial"/>
          <w:b/>
        </w:rPr>
        <w:t xml:space="preserve">lus </w:t>
      </w:r>
      <w:r w:rsidR="004B6009">
        <w:rPr>
          <w:rFonts w:cs="Arial"/>
          <w:b/>
        </w:rPr>
        <w:t>de 84</w:t>
      </w:r>
      <w:r w:rsidRPr="00100C2A">
        <w:rPr>
          <w:rFonts w:cs="Arial"/>
          <w:b/>
        </w:rPr>
        <w:t xml:space="preserve">% par rapport à </w:t>
      </w:r>
      <w:r w:rsidR="004B6009">
        <w:rPr>
          <w:rFonts w:cs="Arial"/>
          <w:b/>
        </w:rPr>
        <w:t>2016</w:t>
      </w:r>
      <w:r w:rsidR="002B2A3C">
        <w:rPr>
          <w:rFonts w:cs="Arial"/>
        </w:rPr>
        <w:t>. La France est le 10</w:t>
      </w:r>
      <w:r w:rsidRPr="00100C2A">
        <w:rPr>
          <w:rFonts w:cs="Arial"/>
          <w:vertAlign w:val="superscript"/>
        </w:rPr>
        <w:t>ème</w:t>
      </w:r>
      <w:r w:rsidRPr="00100C2A">
        <w:rPr>
          <w:rFonts w:cs="Arial"/>
        </w:rPr>
        <w:t xml:space="preserve"> partenaire commercial du Monténégro et se situe loin derrière la </w:t>
      </w:r>
      <w:r w:rsidR="00BC3701">
        <w:rPr>
          <w:rFonts w:cs="Arial"/>
        </w:rPr>
        <w:t xml:space="preserve">Serbie </w:t>
      </w:r>
      <w:r w:rsidRPr="00100C2A">
        <w:rPr>
          <w:rFonts w:cs="Arial"/>
        </w:rPr>
        <w:t xml:space="preserve">et la </w:t>
      </w:r>
      <w:r w:rsidR="00BC3701">
        <w:rPr>
          <w:rFonts w:cs="Arial"/>
        </w:rPr>
        <w:t>Chine</w:t>
      </w:r>
      <w:r w:rsidRPr="00100C2A">
        <w:rPr>
          <w:rFonts w:cs="Arial"/>
        </w:rPr>
        <w:t xml:space="preserve">, ses deux principaux partenaires commerciaux. </w:t>
      </w:r>
      <w:r w:rsidRPr="00100C2A">
        <w:rPr>
          <w:rFonts w:cs="Arial"/>
          <w:b/>
        </w:rPr>
        <w:t xml:space="preserve">La France enregistre un solde commercial excédentaire de </w:t>
      </w:r>
      <w:r w:rsidR="00BF5B48">
        <w:rPr>
          <w:rFonts w:cs="Arial"/>
          <w:b/>
        </w:rPr>
        <w:t>25,9</w:t>
      </w:r>
      <w:r w:rsidRPr="00100C2A">
        <w:rPr>
          <w:rFonts w:cs="Arial"/>
          <w:b/>
        </w:rPr>
        <w:t xml:space="preserve"> M EUR</w:t>
      </w:r>
      <w:r w:rsidRPr="00100C2A">
        <w:rPr>
          <w:rFonts w:cs="Arial"/>
        </w:rPr>
        <w:t xml:space="preserve"> </w:t>
      </w:r>
      <w:r w:rsidR="00BF5B48">
        <w:rPr>
          <w:rFonts w:cs="Arial"/>
          <w:b/>
        </w:rPr>
        <w:t>en 2017</w:t>
      </w:r>
      <w:r w:rsidRPr="00100C2A">
        <w:rPr>
          <w:rFonts w:cs="Arial"/>
        </w:rPr>
        <w:t xml:space="preserve">. Cet excédent </w:t>
      </w:r>
      <w:r w:rsidR="00BF5B48">
        <w:rPr>
          <w:rFonts w:cs="Arial"/>
        </w:rPr>
        <w:t>a augmenté de 122% par rapport à 2016 mais reste toutefois inférieur à l’excédent enregistré en 2012 (46 M EUR).</w:t>
      </w:r>
      <w:r w:rsidR="003F77B3">
        <w:rPr>
          <w:rFonts w:cs="Arial"/>
        </w:rPr>
        <w:t xml:space="preserve"> </w:t>
      </w:r>
    </w:p>
    <w:p w14:paraId="58A82540" w14:textId="77777777" w:rsidR="00DC6450" w:rsidRPr="00100C2A" w:rsidRDefault="00DC6450" w:rsidP="00F560D9">
      <w:pPr>
        <w:spacing w:after="0"/>
        <w:jc w:val="both"/>
        <w:rPr>
          <w:rFonts w:cs="Arial"/>
          <w:sz w:val="12"/>
          <w:szCs w:val="12"/>
        </w:rPr>
      </w:pPr>
    </w:p>
    <w:p w14:paraId="45A9ECF4" w14:textId="5D111402" w:rsidR="00977DC9" w:rsidRDefault="00DC6450" w:rsidP="00F560D9">
      <w:pPr>
        <w:spacing w:after="0"/>
        <w:jc w:val="both"/>
        <w:rPr>
          <w:rFonts w:cs="Arial"/>
        </w:rPr>
      </w:pPr>
      <w:r w:rsidRPr="00100C2A">
        <w:rPr>
          <w:rFonts w:cs="Arial"/>
          <w:b/>
        </w:rPr>
        <w:t>Les exportations françai</w:t>
      </w:r>
      <w:r w:rsidR="00BF5B48">
        <w:rPr>
          <w:rFonts w:cs="Arial"/>
          <w:b/>
        </w:rPr>
        <w:t xml:space="preserve">ses au Monténégro s’élèvent à </w:t>
      </w:r>
      <w:r w:rsidR="008E73FC">
        <w:rPr>
          <w:rFonts w:cs="Arial"/>
          <w:b/>
        </w:rPr>
        <w:t>2</w:t>
      </w:r>
      <w:r w:rsidR="00BF5B48">
        <w:rPr>
          <w:rFonts w:cs="Arial"/>
          <w:b/>
        </w:rPr>
        <w:t>9</w:t>
      </w:r>
      <w:r w:rsidRPr="00100C2A">
        <w:rPr>
          <w:rFonts w:cs="Arial"/>
          <w:b/>
        </w:rPr>
        <w:t>,</w:t>
      </w:r>
      <w:r w:rsidR="00BF5B48">
        <w:rPr>
          <w:rFonts w:cs="Arial"/>
          <w:b/>
        </w:rPr>
        <w:t>2</w:t>
      </w:r>
      <w:r w:rsidRPr="00100C2A">
        <w:rPr>
          <w:rFonts w:cs="Arial"/>
          <w:b/>
        </w:rPr>
        <w:t xml:space="preserve"> M EUR en 201</w:t>
      </w:r>
      <w:r w:rsidR="00BF5B48">
        <w:rPr>
          <w:rFonts w:cs="Arial"/>
          <w:b/>
        </w:rPr>
        <w:t>7</w:t>
      </w:r>
      <w:r w:rsidRPr="00100C2A">
        <w:rPr>
          <w:rFonts w:cs="Arial"/>
          <w:b/>
        </w:rPr>
        <w:t>, contre 1</w:t>
      </w:r>
      <w:r w:rsidR="00BF5B48">
        <w:rPr>
          <w:rFonts w:cs="Arial"/>
          <w:b/>
        </w:rPr>
        <w:t>4,7</w:t>
      </w:r>
      <w:r w:rsidRPr="00100C2A">
        <w:rPr>
          <w:rFonts w:cs="Arial"/>
          <w:b/>
        </w:rPr>
        <w:t xml:space="preserve"> M EUR en 201</w:t>
      </w:r>
      <w:r w:rsidR="00BF5B48">
        <w:rPr>
          <w:rFonts w:cs="Arial"/>
          <w:b/>
        </w:rPr>
        <w:t>6</w:t>
      </w:r>
      <w:r w:rsidRPr="00100C2A">
        <w:rPr>
          <w:rFonts w:cs="Arial"/>
        </w:rPr>
        <w:t>. A l’origine de 2,</w:t>
      </w:r>
      <w:r w:rsidR="008E73FC">
        <w:rPr>
          <w:rFonts w:cs="Arial"/>
        </w:rPr>
        <w:t>3</w:t>
      </w:r>
      <w:r w:rsidRPr="00100C2A">
        <w:rPr>
          <w:rFonts w:cs="Arial"/>
        </w:rPr>
        <w:t xml:space="preserve"> % des importations monténégrines en 201</w:t>
      </w:r>
      <w:r w:rsidR="008E73FC">
        <w:rPr>
          <w:rFonts w:cs="Arial"/>
        </w:rPr>
        <w:t>7</w:t>
      </w:r>
      <w:r w:rsidRPr="00100C2A">
        <w:rPr>
          <w:rFonts w:cs="Arial"/>
        </w:rPr>
        <w:t xml:space="preserve">, la France </w:t>
      </w:r>
      <w:r w:rsidR="008E73FC">
        <w:rPr>
          <w:rFonts w:cs="Arial"/>
        </w:rPr>
        <w:t>reste</w:t>
      </w:r>
      <w:r w:rsidR="008E73FC" w:rsidRPr="00100C2A">
        <w:rPr>
          <w:rFonts w:cs="Arial"/>
        </w:rPr>
        <w:t xml:space="preserve"> </w:t>
      </w:r>
      <w:r w:rsidRPr="00100C2A">
        <w:rPr>
          <w:rFonts w:cs="Arial"/>
        </w:rPr>
        <w:t>le 10</w:t>
      </w:r>
      <w:r w:rsidRPr="00100C2A">
        <w:rPr>
          <w:rFonts w:cs="Arial"/>
          <w:vertAlign w:val="superscript"/>
        </w:rPr>
        <w:t>ème</w:t>
      </w:r>
      <w:r w:rsidRPr="00100C2A">
        <w:rPr>
          <w:rFonts w:cs="Arial"/>
        </w:rPr>
        <w:t xml:space="preserve"> fournisseur du pays</w:t>
      </w:r>
      <w:r w:rsidR="008E73FC">
        <w:rPr>
          <w:rFonts w:cs="Arial"/>
        </w:rPr>
        <w:t>.</w:t>
      </w:r>
      <w:r w:rsidRPr="00100C2A">
        <w:rPr>
          <w:rFonts w:cs="Arial"/>
        </w:rPr>
        <w:t xml:space="preserve"> </w:t>
      </w:r>
      <w:r w:rsidR="000F0ABD">
        <w:rPr>
          <w:rFonts w:cs="Arial"/>
        </w:rPr>
        <w:t>Le Monténégro est notre 146</w:t>
      </w:r>
      <w:r w:rsidR="000F0ABD" w:rsidRPr="003F77B3">
        <w:rPr>
          <w:rFonts w:cs="Arial"/>
          <w:vertAlign w:val="superscript"/>
        </w:rPr>
        <w:t>ème</w:t>
      </w:r>
      <w:r w:rsidR="000F0ABD">
        <w:rPr>
          <w:rFonts w:cs="Arial"/>
        </w:rPr>
        <w:t xml:space="preserve"> client. </w:t>
      </w:r>
      <w:r w:rsidRPr="00100C2A">
        <w:rPr>
          <w:rFonts w:cs="Arial"/>
          <w:b/>
        </w:rPr>
        <w:t xml:space="preserve">Quant aux importations françaises, celles-ci s’élèvent désormais à </w:t>
      </w:r>
      <w:r w:rsidR="00B75671">
        <w:rPr>
          <w:rFonts w:cs="Arial"/>
          <w:b/>
        </w:rPr>
        <w:t>3,3</w:t>
      </w:r>
      <w:r w:rsidRPr="00100C2A">
        <w:rPr>
          <w:rFonts w:eastAsia="Times New Roman" w:cs="Arial"/>
          <w:lang w:eastAsia="fr-FR"/>
        </w:rPr>
        <w:t xml:space="preserve"> </w:t>
      </w:r>
      <w:r w:rsidRPr="00100C2A">
        <w:rPr>
          <w:rFonts w:cs="Arial"/>
          <w:b/>
        </w:rPr>
        <w:t xml:space="preserve">M EUR, contre </w:t>
      </w:r>
      <w:r w:rsidR="00B75671">
        <w:rPr>
          <w:rFonts w:cs="Arial"/>
          <w:b/>
        </w:rPr>
        <w:t>2,9</w:t>
      </w:r>
      <w:r w:rsidRPr="00100C2A">
        <w:rPr>
          <w:rFonts w:cs="Arial"/>
          <w:b/>
        </w:rPr>
        <w:t xml:space="preserve"> M EUR en 201</w:t>
      </w:r>
      <w:r w:rsidR="00B75671">
        <w:rPr>
          <w:rFonts w:cs="Arial"/>
          <w:b/>
        </w:rPr>
        <w:t>6</w:t>
      </w:r>
      <w:r w:rsidRPr="00100C2A">
        <w:rPr>
          <w:rFonts w:cs="Arial"/>
        </w:rPr>
        <w:t>. La France est le 1</w:t>
      </w:r>
      <w:r w:rsidR="00B75671">
        <w:rPr>
          <w:rFonts w:cs="Arial"/>
        </w:rPr>
        <w:t>7</w:t>
      </w:r>
      <w:r w:rsidRPr="00100C2A">
        <w:rPr>
          <w:rFonts w:cs="Arial"/>
          <w:vertAlign w:val="superscript"/>
        </w:rPr>
        <w:t>ème</w:t>
      </w:r>
      <w:r w:rsidRPr="00100C2A">
        <w:rPr>
          <w:rFonts w:cs="Arial"/>
        </w:rPr>
        <w:t xml:space="preserve"> client du Monténégro, comptant pour </w:t>
      </w:r>
      <w:r w:rsidR="00B75671">
        <w:rPr>
          <w:rFonts w:cs="Arial"/>
        </w:rPr>
        <w:t>0,9</w:t>
      </w:r>
      <w:r w:rsidRPr="00100C2A">
        <w:rPr>
          <w:rFonts w:cs="Arial"/>
        </w:rPr>
        <w:t xml:space="preserve"> % des exportations de ce pays. </w:t>
      </w:r>
      <w:r w:rsidR="003F77B3">
        <w:rPr>
          <w:rFonts w:cs="Arial"/>
        </w:rPr>
        <w:t>Le Monténégro est notre 170</w:t>
      </w:r>
      <w:r w:rsidR="003F77B3" w:rsidRPr="003F77B3">
        <w:rPr>
          <w:rFonts w:cs="Arial"/>
          <w:vertAlign w:val="superscript"/>
        </w:rPr>
        <w:t>ème</w:t>
      </w:r>
      <w:r w:rsidR="003F77B3">
        <w:rPr>
          <w:rFonts w:cs="Arial"/>
        </w:rPr>
        <w:t xml:space="preserve"> fournisseur en 2017.</w:t>
      </w:r>
    </w:p>
    <w:p w14:paraId="37DAB9A7" w14:textId="77777777" w:rsidR="000F0ABD" w:rsidRPr="000F0ABD" w:rsidRDefault="000F0ABD" w:rsidP="00F560D9">
      <w:pPr>
        <w:spacing w:after="0"/>
        <w:jc w:val="both"/>
        <w:rPr>
          <w:rFonts w:cs="Arial"/>
          <w:sz w:val="12"/>
          <w:szCs w:val="12"/>
        </w:rPr>
      </w:pPr>
    </w:p>
    <w:p w14:paraId="17A03866" w14:textId="4B8DEC58" w:rsidR="000F0ABD" w:rsidRPr="00100C2A" w:rsidRDefault="000F0ABD" w:rsidP="00F560D9">
      <w:pPr>
        <w:spacing w:after="0"/>
        <w:jc w:val="both"/>
        <w:rPr>
          <w:rFonts w:cs="Arial"/>
        </w:rPr>
      </w:pPr>
      <w:r>
        <w:rPr>
          <w:rFonts w:cs="Arial"/>
        </w:rPr>
        <w:t>En 2016, 334 entreprises françaises exportaient vers le Monténégro, dont une majorité de PME et ETI (233) qui représentaient plus de 85% des exportations en valeur.</w:t>
      </w:r>
    </w:p>
    <w:p w14:paraId="22F42B47" w14:textId="45CA2F43" w:rsidR="00DC6450" w:rsidRPr="00100C2A" w:rsidRDefault="00DC6450" w:rsidP="000F0ABD">
      <w:pPr>
        <w:pStyle w:val="Titre1"/>
        <w:spacing w:before="480"/>
        <w:jc w:val="both"/>
        <w:rPr>
          <w:rFonts w:cs="Arial"/>
          <w:sz w:val="28"/>
        </w:rPr>
      </w:pPr>
      <w:r w:rsidRPr="00100C2A">
        <w:rPr>
          <w:rFonts w:cs="Arial"/>
          <w:sz w:val="28"/>
        </w:rPr>
        <w:t xml:space="preserve">Les exportations se concentrent </w:t>
      </w:r>
      <w:r w:rsidR="00BC3701">
        <w:rPr>
          <w:rFonts w:cs="Arial"/>
          <w:sz w:val="28"/>
        </w:rPr>
        <w:t xml:space="preserve">principalement </w:t>
      </w:r>
      <w:r w:rsidR="00FA2A20">
        <w:rPr>
          <w:rFonts w:cs="Arial"/>
          <w:sz w:val="28"/>
        </w:rPr>
        <w:t>sur le</w:t>
      </w:r>
      <w:r w:rsidR="0008652E">
        <w:rPr>
          <w:rFonts w:cs="Arial"/>
          <w:sz w:val="28"/>
        </w:rPr>
        <w:t>s</w:t>
      </w:r>
      <w:r w:rsidR="00FA2A20">
        <w:rPr>
          <w:rFonts w:cs="Arial"/>
          <w:sz w:val="28"/>
        </w:rPr>
        <w:t xml:space="preserve"> matériel</w:t>
      </w:r>
      <w:r w:rsidR="0008652E">
        <w:rPr>
          <w:rFonts w:cs="Arial"/>
          <w:sz w:val="28"/>
        </w:rPr>
        <w:t>s</w:t>
      </w:r>
      <w:r w:rsidR="00FA2A20">
        <w:rPr>
          <w:rFonts w:cs="Arial"/>
          <w:sz w:val="28"/>
        </w:rPr>
        <w:t xml:space="preserve"> de transport et les équipements mécaniques et informatiques</w:t>
      </w:r>
    </w:p>
    <w:p w14:paraId="0C2D0615" w14:textId="7419D71B" w:rsidR="00DC6450" w:rsidRPr="009C108D" w:rsidRDefault="00DC6450" w:rsidP="00BD4790">
      <w:pPr>
        <w:spacing w:before="240"/>
        <w:jc w:val="both"/>
        <w:rPr>
          <w:rFonts w:cs="Arial"/>
        </w:rPr>
      </w:pPr>
      <w:r w:rsidRPr="00100C2A">
        <w:rPr>
          <w:rFonts w:cs="Arial"/>
          <w:b/>
        </w:rPr>
        <w:t>Le premier poste d’exportations françaises au Monténégro est celui des</w:t>
      </w:r>
      <w:r w:rsidRPr="00100C2A">
        <w:rPr>
          <w:rFonts w:cs="Arial"/>
        </w:rPr>
        <w:t xml:space="preserve"> «</w:t>
      </w:r>
      <w:r w:rsidRPr="00100C2A">
        <w:rPr>
          <w:rFonts w:cs="Arial"/>
          <w:b/>
        </w:rPr>
        <w:t xml:space="preserve"> matériels de transport »</w:t>
      </w:r>
      <w:r w:rsidRPr="00100C2A">
        <w:rPr>
          <w:rFonts w:cs="Arial"/>
        </w:rPr>
        <w:t xml:space="preserve">, représentant </w:t>
      </w:r>
      <w:r w:rsidR="00C13EE1">
        <w:rPr>
          <w:rFonts w:cs="Arial"/>
        </w:rPr>
        <w:t>17</w:t>
      </w:r>
      <w:r w:rsidRPr="00100C2A">
        <w:rPr>
          <w:rFonts w:cs="Arial"/>
        </w:rPr>
        <w:t>,</w:t>
      </w:r>
      <w:r w:rsidR="00C13EE1">
        <w:rPr>
          <w:rFonts w:cs="Arial"/>
        </w:rPr>
        <w:t>2</w:t>
      </w:r>
      <w:r w:rsidRPr="00100C2A">
        <w:rPr>
          <w:rFonts w:cs="Arial"/>
        </w:rPr>
        <w:t xml:space="preserve"> M EUR, soit </w:t>
      </w:r>
      <w:r w:rsidR="00C13EE1">
        <w:rPr>
          <w:rFonts w:cs="Arial"/>
        </w:rPr>
        <w:t>59</w:t>
      </w:r>
      <w:r w:rsidRPr="00100C2A">
        <w:rPr>
          <w:rFonts w:cs="Arial"/>
        </w:rPr>
        <w:t>,</w:t>
      </w:r>
      <w:r w:rsidR="00C13EE1">
        <w:rPr>
          <w:rFonts w:cs="Arial"/>
        </w:rPr>
        <w:t>1</w:t>
      </w:r>
      <w:r w:rsidRPr="00100C2A">
        <w:rPr>
          <w:rFonts w:cs="Arial"/>
        </w:rPr>
        <w:t xml:space="preserve">% du total, en </w:t>
      </w:r>
      <w:r w:rsidR="00F05D47">
        <w:rPr>
          <w:rFonts w:cs="Arial"/>
        </w:rPr>
        <w:t>hausse</w:t>
      </w:r>
      <w:r w:rsidR="00F05D47" w:rsidRPr="00100C2A">
        <w:rPr>
          <w:rFonts w:cs="Arial"/>
        </w:rPr>
        <w:t xml:space="preserve"> </w:t>
      </w:r>
      <w:r w:rsidRPr="00100C2A">
        <w:rPr>
          <w:rFonts w:cs="Arial"/>
        </w:rPr>
        <w:t xml:space="preserve">de </w:t>
      </w:r>
      <w:r w:rsidR="00C13EE1">
        <w:rPr>
          <w:rFonts w:cs="Arial"/>
        </w:rPr>
        <w:t>151,6</w:t>
      </w:r>
      <w:r w:rsidRPr="00100C2A">
        <w:rPr>
          <w:rFonts w:cs="Arial"/>
        </w:rPr>
        <w:t>% par rapport à 201</w:t>
      </w:r>
      <w:r w:rsidR="00C13EE1">
        <w:rPr>
          <w:rFonts w:cs="Arial"/>
        </w:rPr>
        <w:t>6</w:t>
      </w:r>
      <w:r w:rsidRPr="00100C2A">
        <w:rPr>
          <w:rFonts w:cs="Arial"/>
        </w:rPr>
        <w:t xml:space="preserve">. </w:t>
      </w:r>
      <w:r w:rsidR="00BD4790">
        <w:rPr>
          <w:rFonts w:cs="Arial"/>
        </w:rPr>
        <w:t>L</w:t>
      </w:r>
      <w:r w:rsidR="0008652E">
        <w:rPr>
          <w:rFonts w:cs="Arial"/>
        </w:rPr>
        <w:t xml:space="preserve">a </w:t>
      </w:r>
      <w:r w:rsidR="00F84BCE">
        <w:rPr>
          <w:rFonts w:cs="Arial"/>
        </w:rPr>
        <w:t xml:space="preserve">croissance spectaculaire </w:t>
      </w:r>
      <w:r w:rsidR="0008652E">
        <w:rPr>
          <w:rFonts w:cs="Arial"/>
        </w:rPr>
        <w:t xml:space="preserve">des </w:t>
      </w:r>
      <w:r w:rsidR="00061F4A">
        <w:rPr>
          <w:rFonts w:cs="Arial"/>
        </w:rPr>
        <w:t>exportation</w:t>
      </w:r>
      <w:r w:rsidR="0008652E">
        <w:rPr>
          <w:rFonts w:cs="Arial"/>
        </w:rPr>
        <w:t>s</w:t>
      </w:r>
      <w:r w:rsidR="00BD4790">
        <w:rPr>
          <w:rFonts w:cs="Arial"/>
        </w:rPr>
        <w:t xml:space="preserve"> de véhicules automobiles</w:t>
      </w:r>
      <w:r w:rsidR="00061F4A">
        <w:rPr>
          <w:rFonts w:cs="Arial"/>
        </w:rPr>
        <w:t>, multipliée par 1</w:t>
      </w:r>
      <w:r w:rsidR="00E90B48">
        <w:rPr>
          <w:rFonts w:cs="Arial"/>
        </w:rPr>
        <w:t>7</w:t>
      </w:r>
      <w:r w:rsidR="00061F4A">
        <w:rPr>
          <w:rFonts w:cs="Arial"/>
        </w:rPr>
        <w:t xml:space="preserve"> en 2017,</w:t>
      </w:r>
      <w:r w:rsidR="00BD4790">
        <w:rPr>
          <w:rFonts w:cs="Arial"/>
        </w:rPr>
        <w:t xml:space="preserve"> suffit à expliquer 71,4% de la hausse des exportations totales observées.</w:t>
      </w:r>
      <w:r w:rsidR="00061F4A">
        <w:rPr>
          <w:rFonts w:cs="Arial"/>
        </w:rPr>
        <w:t xml:space="preserve"> </w:t>
      </w:r>
      <w:r w:rsidR="00BD4790">
        <w:rPr>
          <w:rFonts w:cs="Arial"/>
        </w:rPr>
        <w:t>Il faut également</w:t>
      </w:r>
      <w:r w:rsidRPr="00100C2A">
        <w:rPr>
          <w:rFonts w:cs="Arial"/>
        </w:rPr>
        <w:t xml:space="preserve"> souligner l’importance de nos exportations de bateaux de plaisance</w:t>
      </w:r>
      <w:r w:rsidR="00BD4790">
        <w:rPr>
          <w:rFonts w:cs="Arial"/>
        </w:rPr>
        <w:t xml:space="preserve"> (5,59M €)</w:t>
      </w:r>
      <w:r w:rsidR="00F05D47">
        <w:rPr>
          <w:rFonts w:cs="Arial"/>
        </w:rPr>
        <w:t xml:space="preserve">, </w:t>
      </w:r>
      <w:r w:rsidRPr="00100C2A">
        <w:rPr>
          <w:rFonts w:cs="Arial"/>
        </w:rPr>
        <w:t>en raison notamment de la présence du groupe Bénéteau sur le segment des bateaux à moteurs</w:t>
      </w:r>
      <w:r w:rsidRPr="00100C2A">
        <w:rPr>
          <w:rFonts w:cs="Arial"/>
          <w:b/>
        </w:rPr>
        <w:t>.</w:t>
      </w:r>
      <w:r w:rsidRPr="00100C2A">
        <w:rPr>
          <w:rFonts w:cs="Arial"/>
          <w:b/>
          <w:bCs/>
        </w:rPr>
        <w:t xml:space="preserve"> </w:t>
      </w:r>
      <w:r w:rsidRPr="00100C2A">
        <w:rPr>
          <w:rFonts w:cs="Arial"/>
        </w:rPr>
        <w:t>Le deuxième poste d’exportations</w:t>
      </w:r>
      <w:r w:rsidR="00061F4A">
        <w:rPr>
          <w:rFonts w:eastAsia="Calibri" w:cs="Arial"/>
          <w:b/>
        </w:rPr>
        <w:t xml:space="preserve">, </w:t>
      </w:r>
      <w:r w:rsidR="00F05D47">
        <w:rPr>
          <w:rFonts w:eastAsia="Calibri" w:cs="Arial"/>
          <w:b/>
        </w:rPr>
        <w:t>« </w:t>
      </w:r>
      <w:r w:rsidR="00061F4A" w:rsidRPr="00F05D47">
        <w:rPr>
          <w:rFonts w:eastAsia="Calibri" w:cs="Arial"/>
          <w:b/>
        </w:rPr>
        <w:t xml:space="preserve">équipements mécaniques, matériel électrique, électronique et </w:t>
      </w:r>
      <w:r w:rsidR="00061F4A" w:rsidRPr="00061F4A">
        <w:rPr>
          <w:rFonts w:eastAsia="Calibri" w:cs="Arial"/>
          <w:b/>
        </w:rPr>
        <w:t>informatique</w:t>
      </w:r>
      <w:r w:rsidR="00F05D47">
        <w:rPr>
          <w:rFonts w:eastAsia="Calibri" w:cs="Arial"/>
          <w:b/>
        </w:rPr>
        <w:t> »</w:t>
      </w:r>
      <w:r w:rsidR="00061F4A">
        <w:rPr>
          <w:rFonts w:eastAsia="Calibri" w:cs="Arial"/>
          <w:b/>
        </w:rPr>
        <w:t>,</w:t>
      </w:r>
      <w:r w:rsidR="00061F4A" w:rsidRPr="00061F4A">
        <w:rPr>
          <w:rFonts w:eastAsia="Calibri" w:cs="Arial"/>
          <w:b/>
        </w:rPr>
        <w:t xml:space="preserve"> </w:t>
      </w:r>
      <w:r w:rsidR="00F84BCE" w:rsidRPr="00F84BCE">
        <w:rPr>
          <w:rFonts w:eastAsia="Calibri" w:cs="Arial"/>
        </w:rPr>
        <w:t xml:space="preserve">s’élève à 5,4 M EUR, en hausse de </w:t>
      </w:r>
      <w:r w:rsidR="00061F4A" w:rsidRPr="00F84BCE">
        <w:rPr>
          <w:rFonts w:eastAsia="Calibri" w:cs="Arial"/>
        </w:rPr>
        <w:t>69,3</w:t>
      </w:r>
      <w:r w:rsidR="00061F4A" w:rsidRPr="00F05D47">
        <w:rPr>
          <w:rFonts w:eastAsia="Calibri" w:cs="Arial"/>
        </w:rPr>
        <w:t xml:space="preserve">% </w:t>
      </w:r>
      <w:r w:rsidR="00F84BCE">
        <w:rPr>
          <w:rFonts w:eastAsia="Calibri" w:cs="Arial"/>
        </w:rPr>
        <w:t>par rapport à 2016</w:t>
      </w:r>
      <w:r w:rsidR="00061F4A" w:rsidRPr="00F05D47">
        <w:rPr>
          <w:rFonts w:eastAsia="Calibri" w:cs="Arial"/>
        </w:rPr>
        <w:t xml:space="preserve">. </w:t>
      </w:r>
      <w:r w:rsidR="00AB30F9">
        <w:rPr>
          <w:rFonts w:eastAsia="Calibri" w:cs="Arial"/>
        </w:rPr>
        <w:t>Auparavant à la troisième place, les exportations de</w:t>
      </w:r>
      <w:r w:rsidR="00AB30F9">
        <w:rPr>
          <w:rFonts w:eastAsia="Calibri" w:cs="Arial"/>
          <w:b/>
        </w:rPr>
        <w:t xml:space="preserve"> produits pharmaceutiques </w:t>
      </w:r>
      <w:r w:rsidR="005C107E">
        <w:rPr>
          <w:rFonts w:eastAsia="Calibri" w:cs="Arial"/>
        </w:rPr>
        <w:t>ont</w:t>
      </w:r>
      <w:r w:rsidR="00AB30F9">
        <w:rPr>
          <w:rFonts w:eastAsia="Calibri" w:cs="Arial"/>
        </w:rPr>
        <w:t xml:space="preserve"> diminué de </w:t>
      </w:r>
      <w:r w:rsidR="0052450B">
        <w:rPr>
          <w:rFonts w:eastAsia="Calibri" w:cs="Arial"/>
        </w:rPr>
        <w:t>moitié  pas</w:t>
      </w:r>
      <w:r w:rsidR="00AB30F9">
        <w:rPr>
          <w:rFonts w:eastAsia="Calibri" w:cs="Arial"/>
        </w:rPr>
        <w:t>sant de 1,05 M EUR en 2016 à 5</w:t>
      </w:r>
      <w:r w:rsidR="0052450B">
        <w:rPr>
          <w:rFonts w:eastAsia="Calibri" w:cs="Arial"/>
        </w:rPr>
        <w:t xml:space="preserve">16 K EUR </w:t>
      </w:r>
      <w:r w:rsidR="00AB30F9">
        <w:rPr>
          <w:rFonts w:eastAsia="Calibri" w:cs="Arial"/>
        </w:rPr>
        <w:t>en 2017.</w:t>
      </w:r>
      <w:r w:rsidR="009C108D">
        <w:rPr>
          <w:rFonts w:eastAsia="Calibri" w:cs="Arial"/>
        </w:rPr>
        <w:t xml:space="preserve"> </w:t>
      </w:r>
      <w:r w:rsidR="0052450B">
        <w:rPr>
          <w:rFonts w:eastAsia="Calibri" w:cs="Arial"/>
        </w:rPr>
        <w:t xml:space="preserve">Les </w:t>
      </w:r>
      <w:r w:rsidR="0052450B" w:rsidRPr="0052450B">
        <w:rPr>
          <w:rFonts w:eastAsia="Calibri" w:cs="Arial"/>
          <w:b/>
        </w:rPr>
        <w:t>produits des industries agroalimentaires</w:t>
      </w:r>
      <w:r w:rsidR="0052450B">
        <w:rPr>
          <w:rFonts w:eastAsia="Calibri" w:cs="Arial"/>
        </w:rPr>
        <w:t xml:space="preserve"> connaissent enfin une hausse de 36,7% en 2017 pour atteindre 1,2 M EUR</w:t>
      </w:r>
      <w:r w:rsidR="00030DE4">
        <w:rPr>
          <w:rFonts w:eastAsia="Calibri" w:cs="Arial"/>
        </w:rPr>
        <w:t>, dont 570 K EUR pour les vins (+185 %)</w:t>
      </w:r>
      <w:r w:rsidR="0052450B">
        <w:rPr>
          <w:rFonts w:eastAsia="Calibri" w:cs="Arial"/>
        </w:rPr>
        <w:t>.</w:t>
      </w:r>
    </w:p>
    <w:p w14:paraId="364F0B74" w14:textId="0861423E" w:rsidR="00DC6450" w:rsidRPr="00100C2A" w:rsidRDefault="00DC6450" w:rsidP="00DC6450">
      <w:pPr>
        <w:pStyle w:val="Titre1"/>
        <w:jc w:val="both"/>
        <w:rPr>
          <w:rFonts w:cs="Arial"/>
          <w:sz w:val="28"/>
        </w:rPr>
      </w:pPr>
      <w:r w:rsidRPr="00100C2A">
        <w:rPr>
          <w:rFonts w:cs="Arial"/>
          <w:sz w:val="28"/>
        </w:rPr>
        <w:lastRenderedPageBreak/>
        <w:t>Les importations françaises en provenance du Monténégro sont dominées par les équipements mécaniques</w:t>
      </w:r>
      <w:r w:rsidR="00EE3EFD">
        <w:rPr>
          <w:rFonts w:cs="Arial"/>
          <w:sz w:val="28"/>
        </w:rPr>
        <w:t>, électriques</w:t>
      </w:r>
      <w:r w:rsidR="000D2FCB">
        <w:rPr>
          <w:rFonts w:cs="Arial"/>
          <w:sz w:val="28"/>
        </w:rPr>
        <w:t xml:space="preserve">, </w:t>
      </w:r>
      <w:r w:rsidR="00EE3EFD">
        <w:rPr>
          <w:rFonts w:cs="Arial"/>
          <w:sz w:val="28"/>
        </w:rPr>
        <w:t>électroniques </w:t>
      </w:r>
      <w:r w:rsidRPr="00100C2A">
        <w:rPr>
          <w:rFonts w:cs="Arial"/>
          <w:sz w:val="28"/>
        </w:rPr>
        <w:t xml:space="preserve">et </w:t>
      </w:r>
      <w:r w:rsidR="000D2FCB">
        <w:rPr>
          <w:rFonts w:cs="Arial"/>
          <w:sz w:val="28"/>
        </w:rPr>
        <w:t>informatiques</w:t>
      </w:r>
    </w:p>
    <w:p w14:paraId="22390DBC" w14:textId="0A2A0688" w:rsidR="00DC6450" w:rsidRPr="00100C2A" w:rsidRDefault="00DC6450" w:rsidP="00F560D9">
      <w:pPr>
        <w:jc w:val="both"/>
        <w:rPr>
          <w:rFonts w:cs="Arial"/>
          <w:color w:val="000000" w:themeColor="text1"/>
        </w:rPr>
      </w:pPr>
      <w:r w:rsidRPr="00100C2A">
        <w:rPr>
          <w:rFonts w:cs="Arial"/>
        </w:rPr>
        <w:t>Les</w:t>
      </w:r>
      <w:r w:rsidRPr="00100C2A">
        <w:rPr>
          <w:rFonts w:cs="Arial"/>
          <w:b/>
        </w:rPr>
        <w:t xml:space="preserve"> équipements mécaniques, électriques</w:t>
      </w:r>
      <w:r w:rsidR="000D2FCB">
        <w:rPr>
          <w:rFonts w:cs="Arial"/>
          <w:b/>
        </w:rPr>
        <w:t xml:space="preserve">, </w:t>
      </w:r>
      <w:r w:rsidRPr="00100C2A">
        <w:rPr>
          <w:rFonts w:cs="Arial"/>
          <w:b/>
        </w:rPr>
        <w:t>électroniques</w:t>
      </w:r>
      <w:r w:rsidRPr="00100C2A">
        <w:rPr>
          <w:rFonts w:cs="Arial"/>
        </w:rPr>
        <w:t xml:space="preserve"> </w:t>
      </w:r>
      <w:r w:rsidR="000D2FCB" w:rsidRPr="000D2FCB">
        <w:rPr>
          <w:rFonts w:cs="Arial"/>
          <w:b/>
        </w:rPr>
        <w:t>et informatiques</w:t>
      </w:r>
      <w:r w:rsidR="000D2FCB">
        <w:rPr>
          <w:rFonts w:cs="Arial"/>
        </w:rPr>
        <w:t xml:space="preserve"> figurent </w:t>
      </w:r>
      <w:r w:rsidRPr="00100C2A">
        <w:rPr>
          <w:rFonts w:cs="Arial"/>
        </w:rPr>
        <w:t>toujours en tête du classement des importations françaises du Monténégro</w:t>
      </w:r>
      <w:r w:rsidR="009C108D">
        <w:rPr>
          <w:rFonts w:cs="Arial"/>
        </w:rPr>
        <w:t xml:space="preserve"> </w:t>
      </w:r>
      <w:r w:rsidR="000D2FCB">
        <w:rPr>
          <w:rFonts w:cs="Arial"/>
        </w:rPr>
        <w:t xml:space="preserve">avec </w:t>
      </w:r>
      <w:r w:rsidR="007A3648">
        <w:rPr>
          <w:rFonts w:cs="Arial"/>
          <w:color w:val="000000" w:themeColor="text1"/>
        </w:rPr>
        <w:t>2</w:t>
      </w:r>
      <w:r w:rsidRPr="00100C2A">
        <w:rPr>
          <w:rFonts w:cs="Arial"/>
          <w:color w:val="000000" w:themeColor="text1"/>
        </w:rPr>
        <w:t xml:space="preserve"> M EUR,</w:t>
      </w:r>
      <w:r w:rsidR="005C107E">
        <w:rPr>
          <w:rFonts w:cs="Arial"/>
          <w:color w:val="000000" w:themeColor="text1"/>
        </w:rPr>
        <w:t xml:space="preserve"> </w:t>
      </w:r>
      <w:r w:rsidR="007A3648">
        <w:rPr>
          <w:rFonts w:cs="Arial"/>
          <w:color w:val="000000" w:themeColor="text1"/>
        </w:rPr>
        <w:t>en hausse de 93,8% par rapport à 2016.</w:t>
      </w:r>
      <w:r w:rsidRPr="00100C2A">
        <w:rPr>
          <w:rFonts w:cs="Arial"/>
          <w:color w:val="000000" w:themeColor="text1"/>
        </w:rPr>
        <w:t xml:space="preserve"> Les importations </w:t>
      </w:r>
      <w:r w:rsidR="00501101" w:rsidRPr="005C107E">
        <w:rPr>
          <w:rFonts w:cs="Arial"/>
          <w:b/>
          <w:color w:val="000000" w:themeColor="text1"/>
        </w:rPr>
        <w:t>d’engrenages</w:t>
      </w:r>
      <w:r w:rsidR="00E90B48">
        <w:rPr>
          <w:rFonts w:cs="Arial"/>
          <w:b/>
          <w:color w:val="000000" w:themeColor="text1"/>
        </w:rPr>
        <w:t xml:space="preserve"> et organ</w:t>
      </w:r>
      <w:r w:rsidR="00DF352B">
        <w:rPr>
          <w:rFonts w:cs="Arial"/>
          <w:b/>
          <w:color w:val="000000" w:themeColor="text1"/>
        </w:rPr>
        <w:t>es mécaniques de transmission</w:t>
      </w:r>
      <w:r w:rsidRPr="00100C2A">
        <w:rPr>
          <w:rFonts w:cs="Arial"/>
          <w:b/>
          <w:color w:val="000000" w:themeColor="text1"/>
        </w:rPr>
        <w:t xml:space="preserve"> </w:t>
      </w:r>
      <w:r w:rsidRPr="00100C2A">
        <w:rPr>
          <w:rFonts w:cs="Arial"/>
          <w:color w:val="000000" w:themeColor="text1"/>
        </w:rPr>
        <w:t xml:space="preserve">représentent </w:t>
      </w:r>
      <w:r w:rsidR="00DF352B">
        <w:rPr>
          <w:rFonts w:cs="Arial"/>
          <w:color w:val="000000" w:themeColor="text1"/>
        </w:rPr>
        <w:t>43,3</w:t>
      </w:r>
      <w:r w:rsidRPr="00100C2A">
        <w:rPr>
          <w:rFonts w:cs="Arial"/>
          <w:color w:val="000000" w:themeColor="text1"/>
        </w:rPr>
        <w:t xml:space="preserve"> % de nos importations du Monténégro et s’établissent à </w:t>
      </w:r>
      <w:r w:rsidR="00DF352B">
        <w:rPr>
          <w:rFonts w:cs="Arial"/>
          <w:color w:val="000000" w:themeColor="text1"/>
        </w:rPr>
        <w:t>1,44 M EUR</w:t>
      </w:r>
      <w:r w:rsidR="005C107E">
        <w:rPr>
          <w:rFonts w:cs="Arial"/>
          <w:color w:val="000000" w:themeColor="text1"/>
        </w:rPr>
        <w:t xml:space="preserve"> </w:t>
      </w:r>
      <w:r w:rsidRPr="00100C2A">
        <w:rPr>
          <w:rFonts w:cs="Arial"/>
          <w:color w:val="000000" w:themeColor="text1"/>
        </w:rPr>
        <w:t>en 201</w:t>
      </w:r>
      <w:r w:rsidR="00DF352B">
        <w:rPr>
          <w:rFonts w:cs="Arial"/>
          <w:color w:val="000000" w:themeColor="text1"/>
        </w:rPr>
        <w:t>7, en hausse de près de 2</w:t>
      </w:r>
      <w:r w:rsidR="000D2FCB">
        <w:rPr>
          <w:rFonts w:cs="Arial"/>
          <w:color w:val="000000" w:themeColor="text1"/>
        </w:rPr>
        <w:t xml:space="preserve"> </w:t>
      </w:r>
      <w:r w:rsidR="00DF352B">
        <w:rPr>
          <w:rFonts w:cs="Arial"/>
          <w:color w:val="000000" w:themeColor="text1"/>
        </w:rPr>
        <w:t>800% par rapport à 2016</w:t>
      </w:r>
      <w:r w:rsidRPr="00100C2A">
        <w:rPr>
          <w:rFonts w:cs="Arial"/>
        </w:rPr>
        <w:t xml:space="preserve">. Nos achats en </w:t>
      </w:r>
      <w:r w:rsidRPr="00100C2A">
        <w:rPr>
          <w:rFonts w:cs="Arial"/>
          <w:b/>
        </w:rPr>
        <w:t>produits métalliques</w:t>
      </w:r>
      <w:r w:rsidRPr="00100C2A">
        <w:rPr>
          <w:rFonts w:cs="Arial"/>
        </w:rPr>
        <w:t xml:space="preserve"> (« </w:t>
      </w:r>
      <w:r w:rsidRPr="00100C2A">
        <w:rPr>
          <w:rFonts w:eastAsia="Times New Roman" w:cs="Arial"/>
          <w:lang w:eastAsia="fr-FR"/>
        </w:rPr>
        <w:t>barres étirées à froid » et « produits sidérurgiques et ferroalliages »)</w:t>
      </w:r>
      <w:r w:rsidR="00CC6BAE">
        <w:rPr>
          <w:rFonts w:eastAsia="Times New Roman" w:cs="Arial"/>
          <w:lang w:eastAsia="fr-FR"/>
        </w:rPr>
        <w:t xml:space="preserve"> s’élèvent à 535 840€ et</w:t>
      </w:r>
      <w:r w:rsidRPr="00100C2A">
        <w:rPr>
          <w:rFonts w:eastAsia="Times New Roman" w:cs="Arial"/>
          <w:lang w:eastAsia="fr-FR"/>
        </w:rPr>
        <w:t xml:space="preserve"> </w:t>
      </w:r>
      <w:r w:rsidR="00CC6BAE">
        <w:rPr>
          <w:rFonts w:eastAsia="Times New Roman" w:cs="Arial"/>
          <w:lang w:eastAsia="fr-FR"/>
        </w:rPr>
        <w:t>ont diminué de 15,4% par rapport à 2016 (après avoir été multipliées par 4,3 par rapport à 2015)</w:t>
      </w:r>
      <w:r w:rsidRPr="00100C2A">
        <w:rPr>
          <w:rFonts w:eastAsia="Times New Roman" w:cs="Arial"/>
          <w:lang w:eastAsia="fr-FR"/>
        </w:rPr>
        <w:t xml:space="preserve">. </w:t>
      </w:r>
    </w:p>
    <w:p w14:paraId="01D0A2E4" w14:textId="6DDCAF4E" w:rsidR="00DC6450" w:rsidRPr="00100C2A" w:rsidRDefault="007A5A3D" w:rsidP="00F560D9">
      <w:pPr>
        <w:jc w:val="both"/>
        <w:rPr>
          <w:rFonts w:cs="Arial"/>
          <w:bCs/>
          <w:i/>
        </w:rPr>
      </w:pPr>
      <w:r>
        <w:rPr>
          <w:rFonts w:cs="Arial"/>
          <w:bCs/>
          <w:i/>
          <w:color w:val="000000"/>
        </w:rPr>
        <w:t>Le</w:t>
      </w:r>
      <w:r w:rsidRPr="00100C2A">
        <w:rPr>
          <w:rFonts w:cs="Arial"/>
          <w:bCs/>
          <w:i/>
          <w:color w:val="000000"/>
        </w:rPr>
        <w:t xml:space="preserve"> Monténégro </w:t>
      </w:r>
      <w:r>
        <w:rPr>
          <w:rFonts w:cs="Arial"/>
          <w:bCs/>
          <w:i/>
          <w:color w:val="000000"/>
        </w:rPr>
        <w:t xml:space="preserve">est </w:t>
      </w:r>
      <w:r w:rsidRPr="00100C2A">
        <w:rPr>
          <w:rFonts w:cs="Arial"/>
          <w:bCs/>
          <w:i/>
          <w:color w:val="000000"/>
        </w:rPr>
        <w:t xml:space="preserve">un petit pays (PIB </w:t>
      </w:r>
      <w:r w:rsidRPr="00100C2A">
        <w:rPr>
          <w:rFonts w:cs="Arial"/>
          <w:bCs/>
          <w:i/>
          <w:color w:val="000000" w:themeColor="text1"/>
        </w:rPr>
        <w:t xml:space="preserve">de </w:t>
      </w:r>
      <w:r>
        <w:rPr>
          <w:rFonts w:cs="Arial"/>
          <w:bCs/>
          <w:i/>
          <w:color w:val="000000" w:themeColor="text1"/>
        </w:rPr>
        <w:t xml:space="preserve">4 </w:t>
      </w:r>
      <w:r w:rsidRPr="00100C2A">
        <w:rPr>
          <w:rFonts w:cs="Arial"/>
          <w:i/>
          <w:iCs/>
          <w:color w:val="000000" w:themeColor="text1"/>
        </w:rPr>
        <w:t xml:space="preserve">Mds </w:t>
      </w:r>
      <w:r>
        <w:rPr>
          <w:rFonts w:cs="Arial"/>
          <w:i/>
          <w:iCs/>
        </w:rPr>
        <w:t>EUR, +4</w:t>
      </w:r>
      <w:r w:rsidRPr="00100C2A">
        <w:rPr>
          <w:rFonts w:cs="Arial"/>
          <w:i/>
          <w:iCs/>
        </w:rPr>
        <w:t>,</w:t>
      </w:r>
      <w:r>
        <w:rPr>
          <w:rFonts w:cs="Arial"/>
          <w:i/>
          <w:iCs/>
        </w:rPr>
        <w:t>5</w:t>
      </w:r>
      <w:r w:rsidRPr="00100C2A">
        <w:rPr>
          <w:rFonts w:cs="Arial"/>
          <w:i/>
          <w:iCs/>
        </w:rPr>
        <w:t xml:space="preserve">% </w:t>
      </w:r>
      <w:r>
        <w:rPr>
          <w:rFonts w:cs="Arial"/>
          <w:i/>
          <w:iCs/>
        </w:rPr>
        <w:t>par rapport à 2016, et 622</w:t>
      </w:r>
      <w:r w:rsidRPr="00100C2A">
        <w:rPr>
          <w:rFonts w:cs="Arial"/>
          <w:i/>
          <w:iCs/>
        </w:rPr>
        <w:t> 000 habitants en 201</w:t>
      </w:r>
      <w:r>
        <w:rPr>
          <w:rFonts w:cs="Arial"/>
          <w:i/>
          <w:iCs/>
        </w:rPr>
        <w:t xml:space="preserve">7). </w:t>
      </w:r>
      <w:r w:rsidR="00DC6450" w:rsidRPr="00100C2A">
        <w:rPr>
          <w:rFonts w:cs="Arial"/>
          <w:bCs/>
          <w:i/>
          <w:color w:val="000000"/>
        </w:rPr>
        <w:t>Les relations commerciales entre la France et le Monténégro sont encore très limitées</w:t>
      </w:r>
      <w:r>
        <w:rPr>
          <w:rFonts w:cs="Arial"/>
          <w:bCs/>
          <w:i/>
          <w:color w:val="000000"/>
        </w:rPr>
        <w:t xml:space="preserve"> et enclines à de fortes variations selon l’évolution de certaines catégories d’une année à l’autre. </w:t>
      </w:r>
      <w:r w:rsidR="00DC6450" w:rsidRPr="00100C2A">
        <w:rPr>
          <w:rFonts w:cs="Arial"/>
          <w:i/>
          <w:iCs/>
        </w:rPr>
        <w:t>L’intérêt des Français pour ce pays est toutefois important sur le plan touristique (</w:t>
      </w:r>
      <w:r w:rsidR="00753FFA">
        <w:rPr>
          <w:rFonts w:cs="Arial"/>
          <w:i/>
          <w:iCs/>
        </w:rPr>
        <w:t>4</w:t>
      </w:r>
      <w:r w:rsidR="00753FFA" w:rsidRPr="00753FFA">
        <w:rPr>
          <w:rFonts w:cs="Arial"/>
          <w:i/>
          <w:iCs/>
          <w:vertAlign w:val="superscript"/>
        </w:rPr>
        <w:t>ème</w:t>
      </w:r>
      <w:r w:rsidR="00753FFA">
        <w:rPr>
          <w:rFonts w:cs="Arial"/>
          <w:i/>
          <w:iCs/>
        </w:rPr>
        <w:t xml:space="preserve"> </w:t>
      </w:r>
      <w:r w:rsidR="00DC6450" w:rsidRPr="00100C2A">
        <w:rPr>
          <w:rFonts w:cs="Arial"/>
          <w:i/>
          <w:iCs/>
        </w:rPr>
        <w:t xml:space="preserve">origine étrangère en termes de nombre de visiteurs </w:t>
      </w:r>
      <w:r w:rsidR="00753FFA">
        <w:rPr>
          <w:rFonts w:cs="Arial"/>
          <w:i/>
          <w:iCs/>
        </w:rPr>
        <w:t>sur l’année 2017 derrière la Russie, la Serbie et la Bosnie-Herzégovine</w:t>
      </w:r>
      <w:r w:rsidR="00DC6450" w:rsidRPr="00100C2A">
        <w:rPr>
          <w:rFonts w:cs="Arial"/>
          <w:i/>
          <w:iCs/>
        </w:rPr>
        <w:t xml:space="preserve">). </w:t>
      </w:r>
    </w:p>
    <w:p w14:paraId="3C05C425" w14:textId="77777777" w:rsidR="00BB65E4" w:rsidRPr="00100C2A" w:rsidRDefault="00BB65E4" w:rsidP="00BB65E4">
      <w:pPr>
        <w:spacing w:before="120" w:after="0"/>
        <w:jc w:val="both"/>
        <w:rPr>
          <w:rFonts w:cs="Arial"/>
          <w:szCs w:val="20"/>
        </w:rPr>
      </w:pPr>
    </w:p>
    <w:p w14:paraId="047E56E8" w14:textId="77777777" w:rsidR="000F0B51" w:rsidRDefault="000F0B51" w:rsidP="00D64488">
      <w:pPr>
        <w:spacing w:before="120" w:after="0"/>
        <w:jc w:val="both"/>
        <w:rPr>
          <w:rFonts w:cs="Arial"/>
        </w:rPr>
      </w:pPr>
    </w:p>
    <w:p w14:paraId="3B149787" w14:textId="77777777" w:rsidR="00D312A3" w:rsidRDefault="00D312A3" w:rsidP="00D64488">
      <w:pPr>
        <w:spacing w:before="120" w:after="0"/>
        <w:jc w:val="both"/>
        <w:rPr>
          <w:rFonts w:cs="Arial"/>
        </w:rPr>
      </w:pPr>
    </w:p>
    <w:p w14:paraId="2005E46C" w14:textId="77777777" w:rsidR="00D312A3" w:rsidRDefault="00D312A3" w:rsidP="00D64488">
      <w:pPr>
        <w:spacing w:before="120" w:after="0"/>
        <w:jc w:val="both"/>
        <w:rPr>
          <w:rFonts w:cs="Arial"/>
        </w:rPr>
      </w:pPr>
    </w:p>
    <w:p w14:paraId="1D18B690" w14:textId="77777777" w:rsidR="00D312A3" w:rsidRDefault="00D312A3" w:rsidP="00D64488">
      <w:pPr>
        <w:spacing w:before="120" w:after="0"/>
        <w:jc w:val="both"/>
        <w:rPr>
          <w:rFonts w:cs="Arial"/>
        </w:rPr>
      </w:pPr>
    </w:p>
    <w:p w14:paraId="5820760C" w14:textId="77777777" w:rsidR="00D312A3" w:rsidRDefault="00D312A3" w:rsidP="00D64488">
      <w:pPr>
        <w:spacing w:before="120" w:after="0"/>
        <w:jc w:val="both"/>
        <w:rPr>
          <w:rFonts w:cs="Arial"/>
        </w:rPr>
      </w:pPr>
    </w:p>
    <w:p w14:paraId="705D8BFD" w14:textId="77777777" w:rsidR="00D312A3" w:rsidRDefault="00D312A3" w:rsidP="00D64488">
      <w:pPr>
        <w:spacing w:before="120" w:after="0"/>
        <w:jc w:val="both"/>
        <w:rPr>
          <w:rFonts w:cs="Arial"/>
        </w:rPr>
      </w:pPr>
    </w:p>
    <w:p w14:paraId="4FD05CC0" w14:textId="77777777" w:rsidR="00D312A3" w:rsidRDefault="00D312A3" w:rsidP="00D64488">
      <w:pPr>
        <w:spacing w:before="120" w:after="0"/>
        <w:jc w:val="both"/>
        <w:rPr>
          <w:rFonts w:cs="Arial"/>
        </w:rPr>
      </w:pPr>
    </w:p>
    <w:p w14:paraId="078304B3" w14:textId="77777777" w:rsidR="00D312A3" w:rsidRDefault="00D312A3" w:rsidP="00D64488">
      <w:pPr>
        <w:spacing w:before="120" w:after="0"/>
        <w:jc w:val="both"/>
        <w:rPr>
          <w:rFonts w:cs="Arial"/>
        </w:rPr>
      </w:pPr>
    </w:p>
    <w:p w14:paraId="4857FD6D" w14:textId="77777777" w:rsidR="00D312A3" w:rsidRDefault="00D312A3" w:rsidP="00D64488">
      <w:pPr>
        <w:spacing w:before="120" w:after="0"/>
        <w:jc w:val="both"/>
        <w:rPr>
          <w:rFonts w:cs="Arial"/>
        </w:rPr>
      </w:pPr>
    </w:p>
    <w:p w14:paraId="45110EA1" w14:textId="77777777" w:rsidR="00884344" w:rsidRDefault="00884344" w:rsidP="00D64488">
      <w:pPr>
        <w:spacing w:before="120" w:after="0"/>
        <w:jc w:val="both"/>
        <w:rPr>
          <w:rFonts w:cs="Arial"/>
        </w:rPr>
      </w:pPr>
    </w:p>
    <w:p w14:paraId="3A6B1F17" w14:textId="77777777" w:rsidR="00884344" w:rsidRDefault="00884344" w:rsidP="00D64488">
      <w:pPr>
        <w:spacing w:before="120" w:after="0"/>
        <w:jc w:val="both"/>
        <w:rPr>
          <w:rFonts w:cs="Arial"/>
        </w:rPr>
      </w:pPr>
    </w:p>
    <w:p w14:paraId="3A947EB6" w14:textId="77777777" w:rsidR="00884344" w:rsidRDefault="00884344" w:rsidP="00D64488">
      <w:pPr>
        <w:spacing w:before="120" w:after="0"/>
        <w:jc w:val="both"/>
        <w:rPr>
          <w:rFonts w:cs="Arial"/>
        </w:rPr>
      </w:pPr>
    </w:p>
    <w:p w14:paraId="6DCDDF49" w14:textId="77777777" w:rsidR="00884344" w:rsidRDefault="00884344" w:rsidP="00D64488">
      <w:pPr>
        <w:spacing w:before="120" w:after="0"/>
        <w:jc w:val="both"/>
        <w:rPr>
          <w:rFonts w:cs="Arial"/>
        </w:rPr>
      </w:pPr>
    </w:p>
    <w:p w14:paraId="72A2137D" w14:textId="77777777" w:rsidR="00D312A3" w:rsidRDefault="00D312A3" w:rsidP="00D64488">
      <w:pPr>
        <w:spacing w:before="120" w:after="0"/>
        <w:jc w:val="both"/>
        <w:rPr>
          <w:rFonts w:cs="Arial"/>
        </w:rPr>
      </w:pPr>
    </w:p>
    <w:p w14:paraId="2D6BB39E" w14:textId="77777777" w:rsidR="005C107E" w:rsidRDefault="005C107E" w:rsidP="00D64488">
      <w:pPr>
        <w:spacing w:before="120" w:after="0"/>
        <w:jc w:val="both"/>
        <w:rPr>
          <w:rFonts w:cs="Arial"/>
        </w:rPr>
      </w:pPr>
    </w:p>
    <w:p w14:paraId="17D66E2C" w14:textId="77777777" w:rsidR="005C107E" w:rsidRPr="00100C2A" w:rsidRDefault="005C107E" w:rsidP="00D64488">
      <w:pPr>
        <w:spacing w:before="120" w:after="0"/>
        <w:jc w:val="both"/>
        <w:rPr>
          <w:rFonts w:cs="Arial"/>
        </w:rPr>
      </w:pPr>
    </w:p>
    <w:p w14:paraId="7DD8B1B5" w14:textId="77777777" w:rsidR="000F0B51" w:rsidRDefault="000F0B51" w:rsidP="00D64488">
      <w:pPr>
        <w:spacing w:before="120" w:after="0"/>
        <w:jc w:val="both"/>
        <w:rPr>
          <w:rFonts w:cs="Arial"/>
        </w:rPr>
      </w:pPr>
    </w:p>
    <w:p w14:paraId="6CAC928F" w14:textId="77777777" w:rsidR="00205C59" w:rsidRDefault="00205C59" w:rsidP="00D64488">
      <w:pPr>
        <w:spacing w:before="120" w:after="0"/>
        <w:jc w:val="both"/>
        <w:rPr>
          <w:rFonts w:cs="Arial"/>
        </w:rPr>
      </w:pPr>
    </w:p>
    <w:p w14:paraId="337F6C9D" w14:textId="77777777" w:rsidR="00205C59" w:rsidRDefault="00205C59" w:rsidP="00D64488">
      <w:pPr>
        <w:spacing w:before="120" w:after="0"/>
        <w:jc w:val="both"/>
        <w:rPr>
          <w:rFonts w:cs="Arial"/>
        </w:rPr>
      </w:pPr>
    </w:p>
    <w:p w14:paraId="3A7695D5" w14:textId="77777777" w:rsidR="00205C59" w:rsidRDefault="00205C59" w:rsidP="00D64488">
      <w:pPr>
        <w:spacing w:before="120" w:after="0"/>
        <w:jc w:val="both"/>
        <w:rPr>
          <w:rFonts w:cs="Arial"/>
        </w:rPr>
      </w:pPr>
    </w:p>
    <w:p w14:paraId="725EDB33" w14:textId="77777777" w:rsidR="00205C59" w:rsidRDefault="00205C59" w:rsidP="00D64488">
      <w:pPr>
        <w:spacing w:before="120" w:after="0"/>
        <w:jc w:val="both"/>
        <w:rPr>
          <w:rFonts w:cs="Arial"/>
        </w:rPr>
      </w:pPr>
    </w:p>
    <w:p w14:paraId="72B73206" w14:textId="77777777" w:rsidR="000F0B51" w:rsidRDefault="000F0B51" w:rsidP="00D64488">
      <w:pPr>
        <w:spacing w:before="120" w:after="0"/>
        <w:jc w:val="both"/>
        <w:rPr>
          <w:rFonts w:cs="Arial"/>
        </w:rPr>
      </w:pPr>
    </w:p>
    <w:p w14:paraId="3BA7D8FE" w14:textId="77777777" w:rsidR="00205C59" w:rsidRPr="00100C2A" w:rsidRDefault="00205C59" w:rsidP="00D64488">
      <w:pPr>
        <w:spacing w:before="120" w:after="0"/>
        <w:jc w:val="both"/>
        <w:rPr>
          <w:rFonts w:cs="Arial"/>
        </w:rPr>
      </w:pPr>
    </w:p>
    <w:p w14:paraId="0DB45F09" w14:textId="77777777" w:rsidR="00100C2A" w:rsidRDefault="00100C2A" w:rsidP="00100C2A">
      <w:pPr>
        <w:jc w:val="center"/>
        <w:rPr>
          <w:rFonts w:cs="Arial"/>
          <w:b/>
        </w:rPr>
      </w:pPr>
      <w:r w:rsidRPr="00100C2A">
        <w:rPr>
          <w:rFonts w:cs="Arial"/>
          <w:b/>
        </w:rPr>
        <w:t>ANNEXES</w:t>
      </w:r>
    </w:p>
    <w:p w14:paraId="08B3E94E" w14:textId="77777777" w:rsidR="00100C2A" w:rsidRPr="00F560D9" w:rsidRDefault="00100C2A" w:rsidP="00100C2A">
      <w:pPr>
        <w:jc w:val="center"/>
        <w:rPr>
          <w:rFonts w:cs="Arial"/>
          <w:b/>
          <w:szCs w:val="20"/>
        </w:rPr>
      </w:pPr>
      <w:r w:rsidRPr="00F560D9">
        <w:rPr>
          <w:rFonts w:cs="Arial"/>
          <w:b/>
          <w:szCs w:val="20"/>
        </w:rPr>
        <w:t>Figure 1 : Echanges commerciaux de la France avec le Monténégro en (M EUR)</w:t>
      </w:r>
    </w:p>
    <w:p w14:paraId="7909FA46" w14:textId="4E6DA96E" w:rsidR="00100C2A" w:rsidRPr="00100C2A" w:rsidRDefault="00E578BF" w:rsidP="00F64097">
      <w:pPr>
        <w:jc w:val="center"/>
        <w:rPr>
          <w:rFonts w:cs="Arial"/>
          <w:szCs w:val="20"/>
        </w:rPr>
      </w:pPr>
      <w:r>
        <w:rPr>
          <w:noProof/>
          <w:lang w:eastAsia="fr-FR"/>
        </w:rPr>
        <w:drawing>
          <wp:inline distT="0" distB="0" distL="0" distR="0" wp14:anchorId="6009C30A" wp14:editId="0E5C3805">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4D4698" w14:textId="77777777" w:rsidR="00100C2A" w:rsidRDefault="00100C2A" w:rsidP="00100C2A">
      <w:pPr>
        <w:jc w:val="center"/>
        <w:rPr>
          <w:rFonts w:cs="Arial"/>
          <w:i/>
        </w:rPr>
      </w:pPr>
      <w:r w:rsidRPr="00100C2A">
        <w:rPr>
          <w:rFonts w:cs="Arial"/>
          <w:i/>
        </w:rPr>
        <w:t>Sources : Douanes françaises</w:t>
      </w:r>
    </w:p>
    <w:p w14:paraId="0E2E90AF" w14:textId="77777777" w:rsidR="00E578BF" w:rsidRDefault="00E578BF" w:rsidP="00100C2A">
      <w:pPr>
        <w:jc w:val="center"/>
        <w:rPr>
          <w:rFonts w:cs="Arial"/>
          <w:i/>
        </w:rPr>
      </w:pPr>
    </w:p>
    <w:p w14:paraId="2B713901" w14:textId="77777777" w:rsidR="00E578BF" w:rsidRDefault="00E578BF" w:rsidP="00100C2A">
      <w:pPr>
        <w:jc w:val="center"/>
        <w:rPr>
          <w:rFonts w:cs="Arial"/>
          <w:i/>
        </w:rPr>
      </w:pPr>
    </w:p>
    <w:p w14:paraId="3CC069DD" w14:textId="77777777" w:rsidR="00100C2A" w:rsidRPr="00F560D9" w:rsidRDefault="00100C2A" w:rsidP="00100C2A">
      <w:pPr>
        <w:rPr>
          <w:rFonts w:cs="Arial"/>
          <w:b/>
          <w:i/>
          <w:sz w:val="22"/>
        </w:rPr>
      </w:pPr>
      <w:r w:rsidRPr="00F560D9">
        <w:rPr>
          <w:rFonts w:cs="Arial"/>
          <w:b/>
        </w:rPr>
        <w:t>Evolution des échanges commerciaux entre la France et le Monténégro (en M EUR)</w:t>
      </w:r>
    </w:p>
    <w:tbl>
      <w:tblPr>
        <w:tblW w:w="9903" w:type="dxa"/>
        <w:jc w:val="center"/>
        <w:tblCellMar>
          <w:left w:w="70" w:type="dxa"/>
          <w:right w:w="70" w:type="dxa"/>
        </w:tblCellMar>
        <w:tblLook w:val="04A0" w:firstRow="1" w:lastRow="0" w:firstColumn="1" w:lastColumn="0" w:noHBand="0" w:noVBand="1"/>
      </w:tblPr>
      <w:tblGrid>
        <w:gridCol w:w="2904"/>
        <w:gridCol w:w="734"/>
        <w:gridCol w:w="734"/>
        <w:gridCol w:w="734"/>
        <w:gridCol w:w="734"/>
        <w:gridCol w:w="734"/>
        <w:gridCol w:w="734"/>
        <w:gridCol w:w="734"/>
        <w:gridCol w:w="734"/>
        <w:gridCol w:w="1127"/>
      </w:tblGrid>
      <w:tr w:rsidR="007B030B" w:rsidRPr="007B030B" w14:paraId="3F5CCE86" w14:textId="77777777" w:rsidTr="00F64097">
        <w:trPr>
          <w:trHeight w:val="402"/>
          <w:jc w:val="center"/>
        </w:trPr>
        <w:tc>
          <w:tcPr>
            <w:tcW w:w="2904" w:type="dxa"/>
            <w:tcBorders>
              <w:top w:val="single" w:sz="8" w:space="0" w:color="auto"/>
              <w:left w:val="single" w:sz="8" w:space="0" w:color="auto"/>
              <w:bottom w:val="nil"/>
              <w:right w:val="single" w:sz="8" w:space="0" w:color="auto"/>
            </w:tcBorders>
            <w:shd w:val="clear" w:color="000000" w:fill="000000"/>
            <w:noWrap/>
            <w:vAlign w:val="center"/>
            <w:hideMark/>
          </w:tcPr>
          <w:p w14:paraId="25DCB9FA" w14:textId="77777777" w:rsidR="007B030B" w:rsidRPr="007B030B" w:rsidRDefault="007B030B" w:rsidP="007B030B">
            <w:pPr>
              <w:spacing w:after="0" w:line="240" w:lineRule="auto"/>
              <w:ind w:firstLineChars="100" w:firstLine="201"/>
              <w:rPr>
                <w:rFonts w:eastAsia="Times New Roman" w:cs="Arial"/>
                <w:b/>
                <w:bCs/>
                <w:color w:val="FFFFFF"/>
                <w:szCs w:val="20"/>
                <w:lang w:eastAsia="fr-FR"/>
              </w:rPr>
            </w:pPr>
            <w:r w:rsidRPr="007B030B">
              <w:rPr>
                <w:rFonts w:eastAsia="Times New Roman" w:cs="Arial"/>
                <w:b/>
                <w:bCs/>
                <w:color w:val="FFFFFF"/>
                <w:szCs w:val="20"/>
                <w:lang w:eastAsia="fr-FR"/>
              </w:rPr>
              <w:t> </w:t>
            </w:r>
          </w:p>
        </w:tc>
        <w:tc>
          <w:tcPr>
            <w:tcW w:w="734" w:type="dxa"/>
            <w:vMerge w:val="restart"/>
            <w:tcBorders>
              <w:top w:val="single" w:sz="8" w:space="0" w:color="auto"/>
              <w:left w:val="nil"/>
              <w:bottom w:val="nil"/>
              <w:right w:val="nil"/>
            </w:tcBorders>
            <w:shd w:val="clear" w:color="000000" w:fill="000000"/>
            <w:noWrap/>
            <w:vAlign w:val="center"/>
            <w:hideMark/>
          </w:tcPr>
          <w:p w14:paraId="1FD7819E"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2010</w:t>
            </w:r>
          </w:p>
        </w:tc>
        <w:tc>
          <w:tcPr>
            <w:tcW w:w="734" w:type="dxa"/>
            <w:vMerge w:val="restart"/>
            <w:tcBorders>
              <w:top w:val="single" w:sz="8" w:space="0" w:color="auto"/>
              <w:left w:val="nil"/>
              <w:bottom w:val="nil"/>
              <w:right w:val="nil"/>
            </w:tcBorders>
            <w:shd w:val="clear" w:color="000000" w:fill="000000"/>
            <w:noWrap/>
            <w:vAlign w:val="center"/>
            <w:hideMark/>
          </w:tcPr>
          <w:p w14:paraId="29943D0D"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2011</w:t>
            </w:r>
          </w:p>
        </w:tc>
        <w:tc>
          <w:tcPr>
            <w:tcW w:w="734" w:type="dxa"/>
            <w:vMerge w:val="restart"/>
            <w:tcBorders>
              <w:top w:val="single" w:sz="8" w:space="0" w:color="auto"/>
              <w:left w:val="nil"/>
              <w:bottom w:val="nil"/>
              <w:right w:val="nil"/>
            </w:tcBorders>
            <w:shd w:val="clear" w:color="000000" w:fill="000000"/>
            <w:noWrap/>
            <w:vAlign w:val="center"/>
            <w:hideMark/>
          </w:tcPr>
          <w:p w14:paraId="36F6ED78"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2012</w:t>
            </w:r>
          </w:p>
        </w:tc>
        <w:tc>
          <w:tcPr>
            <w:tcW w:w="734" w:type="dxa"/>
            <w:vMerge w:val="restart"/>
            <w:tcBorders>
              <w:top w:val="single" w:sz="8" w:space="0" w:color="auto"/>
              <w:left w:val="nil"/>
              <w:bottom w:val="nil"/>
              <w:right w:val="nil"/>
            </w:tcBorders>
            <w:shd w:val="clear" w:color="000000" w:fill="000000"/>
            <w:noWrap/>
            <w:vAlign w:val="center"/>
            <w:hideMark/>
          </w:tcPr>
          <w:p w14:paraId="3A00F4F4"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2013</w:t>
            </w:r>
          </w:p>
        </w:tc>
        <w:tc>
          <w:tcPr>
            <w:tcW w:w="734" w:type="dxa"/>
            <w:vMerge w:val="restart"/>
            <w:tcBorders>
              <w:top w:val="single" w:sz="8" w:space="0" w:color="auto"/>
              <w:left w:val="nil"/>
              <w:bottom w:val="nil"/>
              <w:right w:val="nil"/>
            </w:tcBorders>
            <w:shd w:val="clear" w:color="000000" w:fill="000000"/>
            <w:noWrap/>
            <w:vAlign w:val="center"/>
            <w:hideMark/>
          </w:tcPr>
          <w:p w14:paraId="51C1FEBE"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2014</w:t>
            </w:r>
          </w:p>
        </w:tc>
        <w:tc>
          <w:tcPr>
            <w:tcW w:w="734" w:type="dxa"/>
            <w:vMerge w:val="restart"/>
            <w:tcBorders>
              <w:top w:val="single" w:sz="8" w:space="0" w:color="auto"/>
              <w:left w:val="nil"/>
              <w:bottom w:val="nil"/>
              <w:right w:val="nil"/>
            </w:tcBorders>
            <w:shd w:val="clear" w:color="000000" w:fill="000000"/>
            <w:noWrap/>
            <w:vAlign w:val="center"/>
            <w:hideMark/>
          </w:tcPr>
          <w:p w14:paraId="1A56B184"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2015</w:t>
            </w:r>
          </w:p>
        </w:tc>
        <w:tc>
          <w:tcPr>
            <w:tcW w:w="734" w:type="dxa"/>
            <w:vMerge w:val="restart"/>
            <w:tcBorders>
              <w:top w:val="single" w:sz="8" w:space="0" w:color="auto"/>
              <w:left w:val="nil"/>
              <w:bottom w:val="nil"/>
              <w:right w:val="nil"/>
            </w:tcBorders>
            <w:shd w:val="clear" w:color="000000" w:fill="000000"/>
            <w:noWrap/>
            <w:vAlign w:val="center"/>
            <w:hideMark/>
          </w:tcPr>
          <w:p w14:paraId="0AE4DD6A"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2016</w:t>
            </w:r>
          </w:p>
        </w:tc>
        <w:tc>
          <w:tcPr>
            <w:tcW w:w="734" w:type="dxa"/>
            <w:vMerge w:val="restart"/>
            <w:tcBorders>
              <w:top w:val="single" w:sz="8" w:space="0" w:color="auto"/>
              <w:left w:val="nil"/>
              <w:bottom w:val="nil"/>
              <w:right w:val="single" w:sz="8" w:space="0" w:color="auto"/>
            </w:tcBorders>
            <w:shd w:val="clear" w:color="000000" w:fill="000000"/>
            <w:noWrap/>
            <w:vAlign w:val="center"/>
            <w:hideMark/>
          </w:tcPr>
          <w:p w14:paraId="090ED16D"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2017</w:t>
            </w:r>
          </w:p>
        </w:tc>
        <w:tc>
          <w:tcPr>
            <w:tcW w:w="1127" w:type="dxa"/>
            <w:vMerge w:val="restart"/>
            <w:tcBorders>
              <w:top w:val="single" w:sz="8" w:space="0" w:color="auto"/>
              <w:left w:val="nil"/>
              <w:bottom w:val="nil"/>
              <w:right w:val="single" w:sz="8" w:space="0" w:color="auto"/>
            </w:tcBorders>
            <w:shd w:val="clear" w:color="000000" w:fill="000000"/>
            <w:noWrap/>
            <w:vAlign w:val="center"/>
            <w:hideMark/>
          </w:tcPr>
          <w:p w14:paraId="1884F2A1" w14:textId="77777777" w:rsidR="007B030B" w:rsidRPr="007B030B" w:rsidRDefault="007B030B" w:rsidP="007B030B">
            <w:pPr>
              <w:spacing w:after="0" w:line="240" w:lineRule="auto"/>
              <w:jc w:val="center"/>
              <w:rPr>
                <w:rFonts w:ascii="Calibri" w:eastAsia="Times New Roman" w:hAnsi="Calibri" w:cs="Calibri"/>
                <w:b/>
                <w:bCs/>
                <w:color w:val="FFFFFF"/>
                <w:sz w:val="22"/>
                <w:lang w:eastAsia="fr-FR"/>
              </w:rPr>
            </w:pPr>
            <w:r w:rsidRPr="007B030B">
              <w:rPr>
                <w:rFonts w:ascii="Calibri" w:eastAsia="Times New Roman" w:hAnsi="Calibri" w:cs="Calibri"/>
                <w:b/>
                <w:bCs/>
                <w:color w:val="FFFFFF"/>
                <w:sz w:val="22"/>
                <w:lang w:eastAsia="fr-FR"/>
              </w:rPr>
              <w:t>2016/2017</w:t>
            </w:r>
          </w:p>
        </w:tc>
      </w:tr>
      <w:tr w:rsidR="007B030B" w:rsidRPr="007B030B" w14:paraId="7D20BB6D" w14:textId="77777777" w:rsidTr="00F64097">
        <w:trPr>
          <w:trHeight w:val="80"/>
          <w:jc w:val="center"/>
        </w:trPr>
        <w:tc>
          <w:tcPr>
            <w:tcW w:w="2904" w:type="dxa"/>
            <w:tcBorders>
              <w:top w:val="nil"/>
              <w:left w:val="single" w:sz="8" w:space="0" w:color="auto"/>
              <w:bottom w:val="nil"/>
              <w:right w:val="single" w:sz="8" w:space="0" w:color="auto"/>
            </w:tcBorders>
            <w:shd w:val="clear" w:color="000000" w:fill="000000"/>
            <w:noWrap/>
            <w:vAlign w:val="center"/>
            <w:hideMark/>
          </w:tcPr>
          <w:p w14:paraId="666BC1D2" w14:textId="77777777" w:rsidR="007B030B" w:rsidRPr="007B030B" w:rsidRDefault="007B030B" w:rsidP="007B030B">
            <w:pPr>
              <w:spacing w:after="0" w:line="240" w:lineRule="auto"/>
              <w:ind w:firstLineChars="100" w:firstLine="201"/>
              <w:rPr>
                <w:rFonts w:eastAsia="Times New Roman" w:cs="Arial"/>
                <w:b/>
                <w:bCs/>
                <w:color w:val="FFFFFF"/>
                <w:szCs w:val="20"/>
                <w:lang w:eastAsia="fr-FR"/>
              </w:rPr>
            </w:pPr>
            <w:r w:rsidRPr="007B030B">
              <w:rPr>
                <w:rFonts w:eastAsia="Times New Roman" w:cs="Arial"/>
                <w:b/>
                <w:bCs/>
                <w:color w:val="FFFFFF"/>
                <w:szCs w:val="20"/>
                <w:lang w:eastAsia="fr-FR"/>
              </w:rPr>
              <w:t> </w:t>
            </w:r>
          </w:p>
        </w:tc>
        <w:tc>
          <w:tcPr>
            <w:tcW w:w="734" w:type="dxa"/>
            <w:vMerge/>
            <w:tcBorders>
              <w:top w:val="single" w:sz="8" w:space="0" w:color="auto"/>
              <w:left w:val="nil"/>
              <w:bottom w:val="nil"/>
              <w:right w:val="nil"/>
            </w:tcBorders>
            <w:vAlign w:val="center"/>
            <w:hideMark/>
          </w:tcPr>
          <w:p w14:paraId="4EF778A5"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06DC263D"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46B3B2E6"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76E2F8FE"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7C772780"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023343D4"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nil"/>
            </w:tcBorders>
            <w:vAlign w:val="center"/>
            <w:hideMark/>
          </w:tcPr>
          <w:p w14:paraId="03BDC5E8"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734" w:type="dxa"/>
            <w:vMerge/>
            <w:tcBorders>
              <w:top w:val="single" w:sz="8" w:space="0" w:color="auto"/>
              <w:left w:val="nil"/>
              <w:bottom w:val="nil"/>
              <w:right w:val="single" w:sz="8" w:space="0" w:color="auto"/>
            </w:tcBorders>
            <w:vAlign w:val="center"/>
            <w:hideMark/>
          </w:tcPr>
          <w:p w14:paraId="225DF701"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c>
          <w:tcPr>
            <w:tcW w:w="1127" w:type="dxa"/>
            <w:vMerge/>
            <w:tcBorders>
              <w:top w:val="single" w:sz="8" w:space="0" w:color="auto"/>
              <w:left w:val="nil"/>
              <w:bottom w:val="nil"/>
              <w:right w:val="single" w:sz="8" w:space="0" w:color="auto"/>
            </w:tcBorders>
            <w:vAlign w:val="center"/>
            <w:hideMark/>
          </w:tcPr>
          <w:p w14:paraId="09D9A1CC" w14:textId="77777777" w:rsidR="007B030B" w:rsidRPr="007B030B" w:rsidRDefault="007B030B" w:rsidP="007B030B">
            <w:pPr>
              <w:spacing w:after="0" w:line="240" w:lineRule="auto"/>
              <w:rPr>
                <w:rFonts w:ascii="Calibri" w:eastAsia="Times New Roman" w:hAnsi="Calibri" w:cs="Calibri"/>
                <w:b/>
                <w:bCs/>
                <w:color w:val="FFFFFF"/>
                <w:sz w:val="22"/>
                <w:lang w:eastAsia="fr-FR"/>
              </w:rPr>
            </w:pPr>
          </w:p>
        </w:tc>
      </w:tr>
      <w:tr w:rsidR="007B030B" w:rsidRPr="007B030B" w14:paraId="314C77B0" w14:textId="77777777" w:rsidTr="00F64097">
        <w:trPr>
          <w:trHeight w:val="402"/>
          <w:jc w:val="center"/>
        </w:trPr>
        <w:tc>
          <w:tcPr>
            <w:tcW w:w="2904" w:type="dxa"/>
            <w:tcBorders>
              <w:top w:val="single" w:sz="8" w:space="0" w:color="auto"/>
              <w:left w:val="single" w:sz="8" w:space="0" w:color="auto"/>
              <w:bottom w:val="nil"/>
              <w:right w:val="nil"/>
            </w:tcBorders>
            <w:shd w:val="clear" w:color="auto" w:fill="auto"/>
            <w:noWrap/>
            <w:vAlign w:val="bottom"/>
            <w:hideMark/>
          </w:tcPr>
          <w:p w14:paraId="6BC34283" w14:textId="77777777" w:rsidR="007B030B" w:rsidRPr="007B030B" w:rsidRDefault="007B030B" w:rsidP="007B030B">
            <w:pPr>
              <w:spacing w:after="0" w:line="240" w:lineRule="auto"/>
              <w:rPr>
                <w:rFonts w:eastAsia="Times New Roman" w:cs="Arial"/>
                <w:b/>
                <w:bCs/>
                <w:sz w:val="18"/>
                <w:szCs w:val="18"/>
                <w:lang w:eastAsia="fr-FR"/>
              </w:rPr>
            </w:pPr>
            <w:r w:rsidRPr="007B030B">
              <w:rPr>
                <w:rFonts w:eastAsia="Times New Roman" w:cs="Arial"/>
                <w:b/>
                <w:bCs/>
                <w:sz w:val="18"/>
                <w:szCs w:val="18"/>
                <w:lang w:eastAsia="fr-FR"/>
              </w:rPr>
              <w:t>Exportations (Douanes françaises)</w:t>
            </w:r>
          </w:p>
        </w:tc>
        <w:tc>
          <w:tcPr>
            <w:tcW w:w="7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CDB9234"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15,2</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4E849D0C"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19,8</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5089AC20"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50,4</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4C9D2E80"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19,9</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450DCD66"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26,3</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3D8DA749"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19,4</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7E575E34"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14,7</w:t>
            </w:r>
          </w:p>
        </w:tc>
        <w:tc>
          <w:tcPr>
            <w:tcW w:w="734" w:type="dxa"/>
            <w:tcBorders>
              <w:top w:val="single" w:sz="8" w:space="0" w:color="auto"/>
              <w:left w:val="nil"/>
              <w:bottom w:val="single" w:sz="4" w:space="0" w:color="auto"/>
              <w:right w:val="single" w:sz="4" w:space="0" w:color="auto"/>
            </w:tcBorders>
            <w:shd w:val="clear" w:color="auto" w:fill="auto"/>
            <w:noWrap/>
            <w:vAlign w:val="bottom"/>
            <w:hideMark/>
          </w:tcPr>
          <w:p w14:paraId="78C5E40D"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29,2</w:t>
            </w:r>
          </w:p>
        </w:tc>
        <w:tc>
          <w:tcPr>
            <w:tcW w:w="1127" w:type="dxa"/>
            <w:tcBorders>
              <w:top w:val="single" w:sz="8" w:space="0" w:color="auto"/>
              <w:left w:val="nil"/>
              <w:bottom w:val="single" w:sz="4" w:space="0" w:color="auto"/>
              <w:right w:val="single" w:sz="8" w:space="0" w:color="auto"/>
            </w:tcBorders>
            <w:shd w:val="clear" w:color="auto" w:fill="auto"/>
            <w:noWrap/>
            <w:vAlign w:val="bottom"/>
            <w:hideMark/>
          </w:tcPr>
          <w:p w14:paraId="5ACACDF8"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99,4%</w:t>
            </w:r>
          </w:p>
        </w:tc>
      </w:tr>
      <w:tr w:rsidR="007B030B" w:rsidRPr="007B030B" w14:paraId="3F38CA0E" w14:textId="77777777" w:rsidTr="00F64097">
        <w:trPr>
          <w:trHeight w:val="422"/>
          <w:jc w:val="center"/>
        </w:trPr>
        <w:tc>
          <w:tcPr>
            <w:tcW w:w="2904" w:type="dxa"/>
            <w:tcBorders>
              <w:top w:val="single" w:sz="4" w:space="0" w:color="auto"/>
              <w:left w:val="single" w:sz="8" w:space="0" w:color="auto"/>
              <w:bottom w:val="single" w:sz="8" w:space="0" w:color="auto"/>
              <w:right w:val="nil"/>
            </w:tcBorders>
            <w:shd w:val="clear" w:color="auto" w:fill="auto"/>
            <w:noWrap/>
            <w:vAlign w:val="bottom"/>
            <w:hideMark/>
          </w:tcPr>
          <w:p w14:paraId="5D98778C" w14:textId="77777777" w:rsidR="007B030B" w:rsidRPr="007B030B" w:rsidRDefault="007B030B" w:rsidP="007B030B">
            <w:pPr>
              <w:spacing w:after="0" w:line="240" w:lineRule="auto"/>
              <w:rPr>
                <w:rFonts w:eastAsia="Times New Roman" w:cs="Arial"/>
                <w:sz w:val="18"/>
                <w:szCs w:val="18"/>
                <w:lang w:eastAsia="fr-FR"/>
              </w:rPr>
            </w:pPr>
            <w:r w:rsidRPr="007B030B">
              <w:rPr>
                <w:rFonts w:eastAsia="Times New Roman" w:cs="Arial"/>
                <w:sz w:val="18"/>
                <w:szCs w:val="18"/>
                <w:lang w:eastAsia="fr-FR"/>
              </w:rPr>
              <w:t>Exportations (selon Monstat)</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3D2F232E"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26,9</w:t>
            </w:r>
          </w:p>
        </w:tc>
        <w:tc>
          <w:tcPr>
            <w:tcW w:w="734" w:type="dxa"/>
            <w:tcBorders>
              <w:top w:val="nil"/>
              <w:left w:val="nil"/>
              <w:bottom w:val="single" w:sz="4" w:space="0" w:color="auto"/>
              <w:right w:val="single" w:sz="4" w:space="0" w:color="auto"/>
            </w:tcBorders>
            <w:shd w:val="clear" w:color="auto" w:fill="auto"/>
            <w:noWrap/>
            <w:vAlign w:val="bottom"/>
            <w:hideMark/>
          </w:tcPr>
          <w:p w14:paraId="54657613"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31,6</w:t>
            </w:r>
          </w:p>
        </w:tc>
        <w:tc>
          <w:tcPr>
            <w:tcW w:w="734" w:type="dxa"/>
            <w:tcBorders>
              <w:top w:val="nil"/>
              <w:left w:val="nil"/>
              <w:bottom w:val="single" w:sz="4" w:space="0" w:color="auto"/>
              <w:right w:val="single" w:sz="4" w:space="0" w:color="auto"/>
            </w:tcBorders>
            <w:shd w:val="clear" w:color="auto" w:fill="auto"/>
            <w:noWrap/>
            <w:vAlign w:val="bottom"/>
            <w:hideMark/>
          </w:tcPr>
          <w:p w14:paraId="536F92FD"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22,2</w:t>
            </w:r>
          </w:p>
        </w:tc>
        <w:tc>
          <w:tcPr>
            <w:tcW w:w="734" w:type="dxa"/>
            <w:tcBorders>
              <w:top w:val="nil"/>
              <w:left w:val="nil"/>
              <w:bottom w:val="single" w:sz="4" w:space="0" w:color="auto"/>
              <w:right w:val="single" w:sz="4" w:space="0" w:color="auto"/>
            </w:tcBorders>
            <w:shd w:val="clear" w:color="auto" w:fill="auto"/>
            <w:noWrap/>
            <w:vAlign w:val="bottom"/>
            <w:hideMark/>
          </w:tcPr>
          <w:p w14:paraId="7A66D6D0"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17,5</w:t>
            </w:r>
          </w:p>
        </w:tc>
        <w:tc>
          <w:tcPr>
            <w:tcW w:w="734" w:type="dxa"/>
            <w:tcBorders>
              <w:top w:val="nil"/>
              <w:left w:val="nil"/>
              <w:bottom w:val="single" w:sz="4" w:space="0" w:color="auto"/>
              <w:right w:val="single" w:sz="4" w:space="0" w:color="auto"/>
            </w:tcBorders>
            <w:shd w:val="clear" w:color="auto" w:fill="auto"/>
            <w:noWrap/>
            <w:vAlign w:val="bottom"/>
            <w:hideMark/>
          </w:tcPr>
          <w:p w14:paraId="564BE0C6"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28,3</w:t>
            </w:r>
          </w:p>
        </w:tc>
        <w:tc>
          <w:tcPr>
            <w:tcW w:w="734" w:type="dxa"/>
            <w:tcBorders>
              <w:top w:val="nil"/>
              <w:left w:val="nil"/>
              <w:bottom w:val="single" w:sz="4" w:space="0" w:color="auto"/>
              <w:right w:val="single" w:sz="4" w:space="0" w:color="auto"/>
            </w:tcBorders>
            <w:shd w:val="clear" w:color="auto" w:fill="auto"/>
            <w:noWrap/>
            <w:vAlign w:val="bottom"/>
            <w:hideMark/>
          </w:tcPr>
          <w:p w14:paraId="37FAE578"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22,3</w:t>
            </w:r>
          </w:p>
        </w:tc>
        <w:tc>
          <w:tcPr>
            <w:tcW w:w="734" w:type="dxa"/>
            <w:tcBorders>
              <w:top w:val="nil"/>
              <w:left w:val="nil"/>
              <w:bottom w:val="single" w:sz="4" w:space="0" w:color="auto"/>
              <w:right w:val="single" w:sz="4" w:space="0" w:color="auto"/>
            </w:tcBorders>
            <w:shd w:val="clear" w:color="auto" w:fill="auto"/>
            <w:noWrap/>
            <w:vAlign w:val="bottom"/>
            <w:hideMark/>
          </w:tcPr>
          <w:p w14:paraId="2F4208C2"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41,7</w:t>
            </w:r>
          </w:p>
        </w:tc>
        <w:tc>
          <w:tcPr>
            <w:tcW w:w="734" w:type="dxa"/>
            <w:tcBorders>
              <w:top w:val="nil"/>
              <w:left w:val="nil"/>
              <w:bottom w:val="single" w:sz="4" w:space="0" w:color="auto"/>
              <w:right w:val="single" w:sz="4" w:space="0" w:color="auto"/>
            </w:tcBorders>
            <w:shd w:val="clear" w:color="auto" w:fill="auto"/>
            <w:noWrap/>
            <w:vAlign w:val="bottom"/>
            <w:hideMark/>
          </w:tcPr>
          <w:p w14:paraId="1356BDFD"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52,6</w:t>
            </w:r>
          </w:p>
        </w:tc>
        <w:tc>
          <w:tcPr>
            <w:tcW w:w="1127" w:type="dxa"/>
            <w:tcBorders>
              <w:top w:val="nil"/>
              <w:left w:val="nil"/>
              <w:bottom w:val="single" w:sz="4" w:space="0" w:color="auto"/>
              <w:right w:val="single" w:sz="8" w:space="0" w:color="auto"/>
            </w:tcBorders>
            <w:shd w:val="clear" w:color="auto" w:fill="auto"/>
            <w:noWrap/>
            <w:vAlign w:val="bottom"/>
            <w:hideMark/>
          </w:tcPr>
          <w:p w14:paraId="01C35FA4"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26,1%</w:t>
            </w:r>
          </w:p>
        </w:tc>
      </w:tr>
      <w:tr w:rsidR="007B030B" w:rsidRPr="007B030B" w14:paraId="587EF1C6" w14:textId="77777777" w:rsidTr="00F64097">
        <w:trPr>
          <w:trHeight w:val="402"/>
          <w:jc w:val="center"/>
        </w:trPr>
        <w:tc>
          <w:tcPr>
            <w:tcW w:w="2904" w:type="dxa"/>
            <w:tcBorders>
              <w:top w:val="nil"/>
              <w:left w:val="single" w:sz="8" w:space="0" w:color="auto"/>
              <w:bottom w:val="nil"/>
              <w:right w:val="nil"/>
            </w:tcBorders>
            <w:shd w:val="clear" w:color="auto" w:fill="auto"/>
            <w:noWrap/>
            <w:vAlign w:val="bottom"/>
            <w:hideMark/>
          </w:tcPr>
          <w:p w14:paraId="00AC4CC4" w14:textId="77777777" w:rsidR="007B030B" w:rsidRPr="007B030B" w:rsidRDefault="007B030B" w:rsidP="007B030B">
            <w:pPr>
              <w:spacing w:after="0" w:line="240" w:lineRule="auto"/>
              <w:rPr>
                <w:rFonts w:eastAsia="Times New Roman" w:cs="Arial"/>
                <w:b/>
                <w:bCs/>
                <w:sz w:val="18"/>
                <w:szCs w:val="18"/>
                <w:lang w:eastAsia="fr-FR"/>
              </w:rPr>
            </w:pPr>
            <w:r w:rsidRPr="007B030B">
              <w:rPr>
                <w:rFonts w:eastAsia="Times New Roman" w:cs="Arial"/>
                <w:b/>
                <w:bCs/>
                <w:sz w:val="18"/>
                <w:szCs w:val="18"/>
                <w:lang w:eastAsia="fr-FR"/>
              </w:rPr>
              <w:t>Importations  (Douanes françaises)</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6D099EDE"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1,9</w:t>
            </w:r>
          </w:p>
        </w:tc>
        <w:tc>
          <w:tcPr>
            <w:tcW w:w="734" w:type="dxa"/>
            <w:tcBorders>
              <w:top w:val="nil"/>
              <w:left w:val="nil"/>
              <w:bottom w:val="single" w:sz="4" w:space="0" w:color="auto"/>
              <w:right w:val="single" w:sz="4" w:space="0" w:color="auto"/>
            </w:tcBorders>
            <w:shd w:val="clear" w:color="auto" w:fill="auto"/>
            <w:noWrap/>
            <w:vAlign w:val="bottom"/>
            <w:hideMark/>
          </w:tcPr>
          <w:p w14:paraId="2520962C"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5,9</w:t>
            </w:r>
          </w:p>
        </w:tc>
        <w:tc>
          <w:tcPr>
            <w:tcW w:w="734" w:type="dxa"/>
            <w:tcBorders>
              <w:top w:val="nil"/>
              <w:left w:val="nil"/>
              <w:bottom w:val="single" w:sz="4" w:space="0" w:color="auto"/>
              <w:right w:val="single" w:sz="4" w:space="0" w:color="auto"/>
            </w:tcBorders>
            <w:shd w:val="clear" w:color="auto" w:fill="auto"/>
            <w:noWrap/>
            <w:vAlign w:val="bottom"/>
            <w:hideMark/>
          </w:tcPr>
          <w:p w14:paraId="6E2DEE2C"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4,4</w:t>
            </w:r>
          </w:p>
        </w:tc>
        <w:tc>
          <w:tcPr>
            <w:tcW w:w="734" w:type="dxa"/>
            <w:tcBorders>
              <w:top w:val="nil"/>
              <w:left w:val="nil"/>
              <w:bottom w:val="single" w:sz="4" w:space="0" w:color="auto"/>
              <w:right w:val="single" w:sz="4" w:space="0" w:color="auto"/>
            </w:tcBorders>
            <w:shd w:val="clear" w:color="auto" w:fill="auto"/>
            <w:noWrap/>
            <w:vAlign w:val="bottom"/>
            <w:hideMark/>
          </w:tcPr>
          <w:p w14:paraId="7317062B"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2,7</w:t>
            </w:r>
          </w:p>
        </w:tc>
        <w:tc>
          <w:tcPr>
            <w:tcW w:w="734" w:type="dxa"/>
            <w:tcBorders>
              <w:top w:val="nil"/>
              <w:left w:val="nil"/>
              <w:bottom w:val="single" w:sz="4" w:space="0" w:color="auto"/>
              <w:right w:val="single" w:sz="4" w:space="0" w:color="auto"/>
            </w:tcBorders>
            <w:shd w:val="clear" w:color="auto" w:fill="auto"/>
            <w:noWrap/>
            <w:vAlign w:val="bottom"/>
            <w:hideMark/>
          </w:tcPr>
          <w:p w14:paraId="555486F2"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3,6</w:t>
            </w:r>
          </w:p>
        </w:tc>
        <w:tc>
          <w:tcPr>
            <w:tcW w:w="734" w:type="dxa"/>
            <w:tcBorders>
              <w:top w:val="nil"/>
              <w:left w:val="nil"/>
              <w:bottom w:val="single" w:sz="4" w:space="0" w:color="auto"/>
              <w:right w:val="single" w:sz="4" w:space="0" w:color="auto"/>
            </w:tcBorders>
            <w:shd w:val="clear" w:color="auto" w:fill="auto"/>
            <w:noWrap/>
            <w:vAlign w:val="bottom"/>
            <w:hideMark/>
          </w:tcPr>
          <w:p w14:paraId="26C9DE56"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5,4</w:t>
            </w:r>
          </w:p>
        </w:tc>
        <w:tc>
          <w:tcPr>
            <w:tcW w:w="734" w:type="dxa"/>
            <w:tcBorders>
              <w:top w:val="nil"/>
              <w:left w:val="nil"/>
              <w:bottom w:val="single" w:sz="4" w:space="0" w:color="auto"/>
              <w:right w:val="single" w:sz="4" w:space="0" w:color="auto"/>
            </w:tcBorders>
            <w:shd w:val="clear" w:color="auto" w:fill="auto"/>
            <w:noWrap/>
            <w:vAlign w:val="bottom"/>
            <w:hideMark/>
          </w:tcPr>
          <w:p w14:paraId="29635CB7"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3,0</w:t>
            </w:r>
          </w:p>
        </w:tc>
        <w:tc>
          <w:tcPr>
            <w:tcW w:w="734" w:type="dxa"/>
            <w:tcBorders>
              <w:top w:val="nil"/>
              <w:left w:val="nil"/>
              <w:bottom w:val="single" w:sz="4" w:space="0" w:color="auto"/>
              <w:right w:val="single" w:sz="4" w:space="0" w:color="auto"/>
            </w:tcBorders>
            <w:shd w:val="clear" w:color="auto" w:fill="auto"/>
            <w:noWrap/>
            <w:vAlign w:val="bottom"/>
            <w:hideMark/>
          </w:tcPr>
          <w:p w14:paraId="63E8994B"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3,3</w:t>
            </w:r>
          </w:p>
        </w:tc>
        <w:tc>
          <w:tcPr>
            <w:tcW w:w="1127" w:type="dxa"/>
            <w:tcBorders>
              <w:top w:val="nil"/>
              <w:left w:val="nil"/>
              <w:bottom w:val="single" w:sz="4" w:space="0" w:color="auto"/>
              <w:right w:val="single" w:sz="8" w:space="0" w:color="auto"/>
            </w:tcBorders>
            <w:shd w:val="clear" w:color="auto" w:fill="auto"/>
            <w:noWrap/>
            <w:vAlign w:val="bottom"/>
            <w:hideMark/>
          </w:tcPr>
          <w:p w14:paraId="6D4DB0A7"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10,9%</w:t>
            </w:r>
          </w:p>
        </w:tc>
      </w:tr>
      <w:tr w:rsidR="007B030B" w:rsidRPr="007B030B" w14:paraId="441FDE03" w14:textId="77777777" w:rsidTr="00F64097">
        <w:trPr>
          <w:trHeight w:val="422"/>
          <w:jc w:val="center"/>
        </w:trPr>
        <w:tc>
          <w:tcPr>
            <w:tcW w:w="2904" w:type="dxa"/>
            <w:tcBorders>
              <w:top w:val="single" w:sz="4" w:space="0" w:color="auto"/>
              <w:left w:val="single" w:sz="8" w:space="0" w:color="auto"/>
              <w:bottom w:val="single" w:sz="8" w:space="0" w:color="auto"/>
              <w:right w:val="nil"/>
            </w:tcBorders>
            <w:shd w:val="clear" w:color="auto" w:fill="auto"/>
            <w:noWrap/>
            <w:vAlign w:val="bottom"/>
            <w:hideMark/>
          </w:tcPr>
          <w:p w14:paraId="190E238E" w14:textId="1295E92B" w:rsidR="007B030B" w:rsidRPr="007B030B" w:rsidRDefault="0060351E" w:rsidP="007B030B">
            <w:pPr>
              <w:spacing w:after="0" w:line="240" w:lineRule="auto"/>
              <w:rPr>
                <w:rFonts w:eastAsia="Times New Roman" w:cs="Arial"/>
                <w:sz w:val="18"/>
                <w:szCs w:val="18"/>
                <w:lang w:eastAsia="fr-FR"/>
              </w:rPr>
            </w:pPr>
            <w:r>
              <w:rPr>
                <w:rFonts w:eastAsia="Times New Roman" w:cs="Arial"/>
                <w:sz w:val="18"/>
                <w:szCs w:val="18"/>
                <w:lang w:eastAsia="fr-FR"/>
              </w:rPr>
              <w:t>I</w:t>
            </w:r>
            <w:r w:rsidR="007B030B" w:rsidRPr="007B030B">
              <w:rPr>
                <w:rFonts w:eastAsia="Times New Roman" w:cs="Arial"/>
                <w:sz w:val="18"/>
                <w:szCs w:val="18"/>
                <w:lang w:eastAsia="fr-FR"/>
              </w:rPr>
              <w:t>mportations (selon Monstat)</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4E76C445"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1,8</w:t>
            </w:r>
          </w:p>
        </w:tc>
        <w:tc>
          <w:tcPr>
            <w:tcW w:w="734" w:type="dxa"/>
            <w:tcBorders>
              <w:top w:val="nil"/>
              <w:left w:val="nil"/>
              <w:bottom w:val="single" w:sz="4" w:space="0" w:color="auto"/>
              <w:right w:val="single" w:sz="4" w:space="0" w:color="auto"/>
            </w:tcBorders>
            <w:shd w:val="clear" w:color="auto" w:fill="auto"/>
            <w:noWrap/>
            <w:vAlign w:val="bottom"/>
            <w:hideMark/>
          </w:tcPr>
          <w:p w14:paraId="3D54620F"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1,8</w:t>
            </w:r>
          </w:p>
        </w:tc>
        <w:tc>
          <w:tcPr>
            <w:tcW w:w="734" w:type="dxa"/>
            <w:tcBorders>
              <w:top w:val="nil"/>
              <w:left w:val="nil"/>
              <w:bottom w:val="single" w:sz="4" w:space="0" w:color="auto"/>
              <w:right w:val="single" w:sz="4" w:space="0" w:color="auto"/>
            </w:tcBorders>
            <w:shd w:val="clear" w:color="auto" w:fill="auto"/>
            <w:noWrap/>
            <w:vAlign w:val="bottom"/>
            <w:hideMark/>
          </w:tcPr>
          <w:p w14:paraId="6942AEDE"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2,5</w:t>
            </w:r>
          </w:p>
        </w:tc>
        <w:tc>
          <w:tcPr>
            <w:tcW w:w="734" w:type="dxa"/>
            <w:tcBorders>
              <w:top w:val="nil"/>
              <w:left w:val="nil"/>
              <w:bottom w:val="single" w:sz="4" w:space="0" w:color="auto"/>
              <w:right w:val="single" w:sz="4" w:space="0" w:color="auto"/>
            </w:tcBorders>
            <w:shd w:val="clear" w:color="auto" w:fill="auto"/>
            <w:noWrap/>
            <w:vAlign w:val="bottom"/>
            <w:hideMark/>
          </w:tcPr>
          <w:p w14:paraId="3E3B572F"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3,3</w:t>
            </w:r>
          </w:p>
        </w:tc>
        <w:tc>
          <w:tcPr>
            <w:tcW w:w="734" w:type="dxa"/>
            <w:tcBorders>
              <w:top w:val="nil"/>
              <w:left w:val="nil"/>
              <w:bottom w:val="single" w:sz="4" w:space="0" w:color="auto"/>
              <w:right w:val="single" w:sz="4" w:space="0" w:color="auto"/>
            </w:tcBorders>
            <w:shd w:val="clear" w:color="auto" w:fill="auto"/>
            <w:noWrap/>
            <w:vAlign w:val="bottom"/>
            <w:hideMark/>
          </w:tcPr>
          <w:p w14:paraId="058C8C6E"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2,8</w:t>
            </w:r>
          </w:p>
        </w:tc>
        <w:tc>
          <w:tcPr>
            <w:tcW w:w="734" w:type="dxa"/>
            <w:tcBorders>
              <w:top w:val="nil"/>
              <w:left w:val="nil"/>
              <w:bottom w:val="single" w:sz="4" w:space="0" w:color="auto"/>
              <w:right w:val="single" w:sz="4" w:space="0" w:color="auto"/>
            </w:tcBorders>
            <w:shd w:val="clear" w:color="auto" w:fill="auto"/>
            <w:noWrap/>
            <w:vAlign w:val="bottom"/>
            <w:hideMark/>
          </w:tcPr>
          <w:p w14:paraId="7BF41014"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4,6</w:t>
            </w:r>
          </w:p>
        </w:tc>
        <w:tc>
          <w:tcPr>
            <w:tcW w:w="734" w:type="dxa"/>
            <w:tcBorders>
              <w:top w:val="nil"/>
              <w:left w:val="nil"/>
              <w:bottom w:val="single" w:sz="4" w:space="0" w:color="auto"/>
              <w:right w:val="single" w:sz="4" w:space="0" w:color="auto"/>
            </w:tcBorders>
            <w:shd w:val="clear" w:color="auto" w:fill="auto"/>
            <w:noWrap/>
            <w:vAlign w:val="bottom"/>
            <w:hideMark/>
          </w:tcPr>
          <w:p w14:paraId="5D19D157"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3,7</w:t>
            </w:r>
          </w:p>
        </w:tc>
        <w:tc>
          <w:tcPr>
            <w:tcW w:w="734" w:type="dxa"/>
            <w:tcBorders>
              <w:top w:val="nil"/>
              <w:left w:val="nil"/>
              <w:bottom w:val="single" w:sz="4" w:space="0" w:color="auto"/>
              <w:right w:val="single" w:sz="4" w:space="0" w:color="auto"/>
            </w:tcBorders>
            <w:shd w:val="clear" w:color="auto" w:fill="auto"/>
            <w:noWrap/>
            <w:vAlign w:val="bottom"/>
            <w:hideMark/>
          </w:tcPr>
          <w:p w14:paraId="4280DD08"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3,5</w:t>
            </w:r>
          </w:p>
        </w:tc>
        <w:tc>
          <w:tcPr>
            <w:tcW w:w="1127" w:type="dxa"/>
            <w:tcBorders>
              <w:top w:val="nil"/>
              <w:left w:val="nil"/>
              <w:bottom w:val="single" w:sz="4" w:space="0" w:color="auto"/>
              <w:right w:val="single" w:sz="8" w:space="0" w:color="auto"/>
            </w:tcBorders>
            <w:shd w:val="clear" w:color="auto" w:fill="auto"/>
            <w:noWrap/>
            <w:vAlign w:val="bottom"/>
            <w:hideMark/>
          </w:tcPr>
          <w:p w14:paraId="64AC615B"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-7,1%</w:t>
            </w:r>
          </w:p>
        </w:tc>
      </w:tr>
      <w:tr w:rsidR="007B030B" w:rsidRPr="007B030B" w14:paraId="7655FE97" w14:textId="77777777" w:rsidTr="00F64097">
        <w:trPr>
          <w:trHeight w:val="402"/>
          <w:jc w:val="center"/>
        </w:trPr>
        <w:tc>
          <w:tcPr>
            <w:tcW w:w="2904" w:type="dxa"/>
            <w:tcBorders>
              <w:top w:val="nil"/>
              <w:left w:val="single" w:sz="8" w:space="0" w:color="auto"/>
              <w:bottom w:val="nil"/>
              <w:right w:val="nil"/>
            </w:tcBorders>
            <w:shd w:val="clear" w:color="auto" w:fill="auto"/>
            <w:noWrap/>
            <w:vAlign w:val="bottom"/>
            <w:hideMark/>
          </w:tcPr>
          <w:p w14:paraId="1594FFE5" w14:textId="77777777" w:rsidR="007B030B" w:rsidRPr="007B030B" w:rsidRDefault="007B030B" w:rsidP="007B030B">
            <w:pPr>
              <w:spacing w:after="0" w:line="240" w:lineRule="auto"/>
              <w:rPr>
                <w:rFonts w:eastAsia="Times New Roman" w:cs="Arial"/>
                <w:b/>
                <w:bCs/>
                <w:sz w:val="18"/>
                <w:szCs w:val="18"/>
                <w:lang w:eastAsia="fr-FR"/>
              </w:rPr>
            </w:pPr>
            <w:r w:rsidRPr="007B030B">
              <w:rPr>
                <w:rFonts w:eastAsia="Times New Roman" w:cs="Arial"/>
                <w:b/>
                <w:bCs/>
                <w:sz w:val="18"/>
                <w:szCs w:val="18"/>
                <w:lang w:eastAsia="fr-FR"/>
              </w:rPr>
              <w:t>Solde commercial  (Douanes françaises)</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1029AFC3"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13,3</w:t>
            </w:r>
          </w:p>
        </w:tc>
        <w:tc>
          <w:tcPr>
            <w:tcW w:w="734" w:type="dxa"/>
            <w:tcBorders>
              <w:top w:val="nil"/>
              <w:left w:val="nil"/>
              <w:bottom w:val="single" w:sz="4" w:space="0" w:color="auto"/>
              <w:right w:val="single" w:sz="4" w:space="0" w:color="auto"/>
            </w:tcBorders>
            <w:shd w:val="clear" w:color="auto" w:fill="auto"/>
            <w:noWrap/>
            <w:vAlign w:val="bottom"/>
            <w:hideMark/>
          </w:tcPr>
          <w:p w14:paraId="2A488ED4"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13,8</w:t>
            </w:r>
          </w:p>
        </w:tc>
        <w:tc>
          <w:tcPr>
            <w:tcW w:w="734" w:type="dxa"/>
            <w:tcBorders>
              <w:top w:val="nil"/>
              <w:left w:val="nil"/>
              <w:bottom w:val="single" w:sz="4" w:space="0" w:color="auto"/>
              <w:right w:val="single" w:sz="4" w:space="0" w:color="auto"/>
            </w:tcBorders>
            <w:shd w:val="clear" w:color="auto" w:fill="auto"/>
            <w:noWrap/>
            <w:vAlign w:val="bottom"/>
            <w:hideMark/>
          </w:tcPr>
          <w:p w14:paraId="3C9C1D54"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46,0</w:t>
            </w:r>
          </w:p>
        </w:tc>
        <w:tc>
          <w:tcPr>
            <w:tcW w:w="734" w:type="dxa"/>
            <w:tcBorders>
              <w:top w:val="nil"/>
              <w:left w:val="nil"/>
              <w:bottom w:val="single" w:sz="4" w:space="0" w:color="auto"/>
              <w:right w:val="single" w:sz="4" w:space="0" w:color="auto"/>
            </w:tcBorders>
            <w:shd w:val="clear" w:color="auto" w:fill="auto"/>
            <w:noWrap/>
            <w:vAlign w:val="bottom"/>
            <w:hideMark/>
          </w:tcPr>
          <w:p w14:paraId="4C1DEFD7"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17,2</w:t>
            </w:r>
          </w:p>
        </w:tc>
        <w:tc>
          <w:tcPr>
            <w:tcW w:w="734" w:type="dxa"/>
            <w:tcBorders>
              <w:top w:val="nil"/>
              <w:left w:val="nil"/>
              <w:bottom w:val="single" w:sz="4" w:space="0" w:color="auto"/>
              <w:right w:val="single" w:sz="4" w:space="0" w:color="auto"/>
            </w:tcBorders>
            <w:shd w:val="clear" w:color="auto" w:fill="auto"/>
            <w:noWrap/>
            <w:vAlign w:val="bottom"/>
            <w:hideMark/>
          </w:tcPr>
          <w:p w14:paraId="3386DA28"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22,8</w:t>
            </w:r>
          </w:p>
        </w:tc>
        <w:tc>
          <w:tcPr>
            <w:tcW w:w="734" w:type="dxa"/>
            <w:tcBorders>
              <w:top w:val="nil"/>
              <w:left w:val="nil"/>
              <w:bottom w:val="single" w:sz="4" w:space="0" w:color="auto"/>
              <w:right w:val="single" w:sz="4" w:space="0" w:color="auto"/>
            </w:tcBorders>
            <w:shd w:val="clear" w:color="auto" w:fill="auto"/>
            <w:noWrap/>
            <w:vAlign w:val="bottom"/>
            <w:hideMark/>
          </w:tcPr>
          <w:p w14:paraId="576BFC35"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13,9</w:t>
            </w:r>
          </w:p>
        </w:tc>
        <w:tc>
          <w:tcPr>
            <w:tcW w:w="734" w:type="dxa"/>
            <w:tcBorders>
              <w:top w:val="nil"/>
              <w:left w:val="nil"/>
              <w:bottom w:val="single" w:sz="4" w:space="0" w:color="auto"/>
              <w:right w:val="single" w:sz="4" w:space="0" w:color="auto"/>
            </w:tcBorders>
            <w:shd w:val="clear" w:color="auto" w:fill="auto"/>
            <w:noWrap/>
            <w:vAlign w:val="bottom"/>
            <w:hideMark/>
          </w:tcPr>
          <w:p w14:paraId="64B768A0"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11,7</w:t>
            </w:r>
          </w:p>
        </w:tc>
        <w:tc>
          <w:tcPr>
            <w:tcW w:w="734" w:type="dxa"/>
            <w:tcBorders>
              <w:top w:val="nil"/>
              <w:left w:val="nil"/>
              <w:bottom w:val="single" w:sz="4" w:space="0" w:color="auto"/>
              <w:right w:val="single" w:sz="4" w:space="0" w:color="auto"/>
            </w:tcBorders>
            <w:shd w:val="clear" w:color="auto" w:fill="auto"/>
            <w:noWrap/>
            <w:vAlign w:val="bottom"/>
            <w:hideMark/>
          </w:tcPr>
          <w:p w14:paraId="6B35A720"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25,9</w:t>
            </w:r>
          </w:p>
        </w:tc>
        <w:tc>
          <w:tcPr>
            <w:tcW w:w="1127" w:type="dxa"/>
            <w:tcBorders>
              <w:top w:val="nil"/>
              <w:left w:val="nil"/>
              <w:bottom w:val="single" w:sz="4" w:space="0" w:color="auto"/>
              <w:right w:val="single" w:sz="8" w:space="0" w:color="auto"/>
            </w:tcBorders>
            <w:shd w:val="clear" w:color="auto" w:fill="auto"/>
            <w:noWrap/>
            <w:vAlign w:val="bottom"/>
            <w:hideMark/>
          </w:tcPr>
          <w:p w14:paraId="04597123"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122,1%</w:t>
            </w:r>
          </w:p>
        </w:tc>
      </w:tr>
      <w:tr w:rsidR="007B030B" w:rsidRPr="007B030B" w14:paraId="795BF73F" w14:textId="77777777" w:rsidTr="00F64097">
        <w:trPr>
          <w:trHeight w:val="422"/>
          <w:jc w:val="center"/>
        </w:trPr>
        <w:tc>
          <w:tcPr>
            <w:tcW w:w="2904" w:type="dxa"/>
            <w:tcBorders>
              <w:top w:val="single" w:sz="4" w:space="0" w:color="auto"/>
              <w:left w:val="single" w:sz="8" w:space="0" w:color="auto"/>
              <w:bottom w:val="single" w:sz="8" w:space="0" w:color="auto"/>
              <w:right w:val="nil"/>
            </w:tcBorders>
            <w:shd w:val="clear" w:color="auto" w:fill="auto"/>
            <w:noWrap/>
            <w:vAlign w:val="bottom"/>
            <w:hideMark/>
          </w:tcPr>
          <w:p w14:paraId="5C14CD81" w14:textId="77777777" w:rsidR="007B030B" w:rsidRPr="007B030B" w:rsidRDefault="007B030B" w:rsidP="007B030B">
            <w:pPr>
              <w:spacing w:after="0" w:line="240" w:lineRule="auto"/>
              <w:rPr>
                <w:rFonts w:eastAsia="Times New Roman" w:cs="Arial"/>
                <w:sz w:val="18"/>
                <w:szCs w:val="18"/>
                <w:lang w:eastAsia="fr-FR"/>
              </w:rPr>
            </w:pPr>
            <w:r w:rsidRPr="007B030B">
              <w:rPr>
                <w:rFonts w:eastAsia="Times New Roman" w:cs="Arial"/>
                <w:sz w:val="18"/>
                <w:szCs w:val="18"/>
                <w:lang w:eastAsia="fr-FR"/>
              </w:rPr>
              <w:t>Solde commercial (selon Monstat)</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251CC85F"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25,1</w:t>
            </w:r>
          </w:p>
        </w:tc>
        <w:tc>
          <w:tcPr>
            <w:tcW w:w="734" w:type="dxa"/>
            <w:tcBorders>
              <w:top w:val="nil"/>
              <w:left w:val="nil"/>
              <w:bottom w:val="single" w:sz="4" w:space="0" w:color="auto"/>
              <w:right w:val="single" w:sz="4" w:space="0" w:color="auto"/>
            </w:tcBorders>
            <w:shd w:val="clear" w:color="auto" w:fill="auto"/>
            <w:noWrap/>
            <w:vAlign w:val="bottom"/>
            <w:hideMark/>
          </w:tcPr>
          <w:p w14:paraId="5C3FBDAD"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29,9</w:t>
            </w:r>
          </w:p>
        </w:tc>
        <w:tc>
          <w:tcPr>
            <w:tcW w:w="734" w:type="dxa"/>
            <w:tcBorders>
              <w:top w:val="nil"/>
              <w:left w:val="nil"/>
              <w:bottom w:val="single" w:sz="4" w:space="0" w:color="auto"/>
              <w:right w:val="single" w:sz="4" w:space="0" w:color="auto"/>
            </w:tcBorders>
            <w:shd w:val="clear" w:color="auto" w:fill="auto"/>
            <w:noWrap/>
            <w:vAlign w:val="bottom"/>
            <w:hideMark/>
          </w:tcPr>
          <w:p w14:paraId="145C7589"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19,7</w:t>
            </w:r>
          </w:p>
        </w:tc>
        <w:tc>
          <w:tcPr>
            <w:tcW w:w="734" w:type="dxa"/>
            <w:tcBorders>
              <w:top w:val="nil"/>
              <w:left w:val="nil"/>
              <w:bottom w:val="single" w:sz="4" w:space="0" w:color="auto"/>
              <w:right w:val="single" w:sz="4" w:space="0" w:color="auto"/>
            </w:tcBorders>
            <w:shd w:val="clear" w:color="auto" w:fill="auto"/>
            <w:noWrap/>
            <w:vAlign w:val="bottom"/>
            <w:hideMark/>
          </w:tcPr>
          <w:p w14:paraId="3A15BA86"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14,2</w:t>
            </w:r>
          </w:p>
        </w:tc>
        <w:tc>
          <w:tcPr>
            <w:tcW w:w="734" w:type="dxa"/>
            <w:tcBorders>
              <w:top w:val="nil"/>
              <w:left w:val="nil"/>
              <w:bottom w:val="single" w:sz="4" w:space="0" w:color="auto"/>
              <w:right w:val="single" w:sz="4" w:space="0" w:color="auto"/>
            </w:tcBorders>
            <w:shd w:val="clear" w:color="auto" w:fill="auto"/>
            <w:noWrap/>
            <w:vAlign w:val="bottom"/>
            <w:hideMark/>
          </w:tcPr>
          <w:p w14:paraId="6EA17188"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25,5</w:t>
            </w:r>
          </w:p>
        </w:tc>
        <w:tc>
          <w:tcPr>
            <w:tcW w:w="734" w:type="dxa"/>
            <w:tcBorders>
              <w:top w:val="nil"/>
              <w:left w:val="nil"/>
              <w:bottom w:val="single" w:sz="4" w:space="0" w:color="auto"/>
              <w:right w:val="single" w:sz="4" w:space="0" w:color="auto"/>
            </w:tcBorders>
            <w:shd w:val="clear" w:color="auto" w:fill="auto"/>
            <w:noWrap/>
            <w:vAlign w:val="bottom"/>
            <w:hideMark/>
          </w:tcPr>
          <w:p w14:paraId="428D59DB"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17,7</w:t>
            </w:r>
          </w:p>
        </w:tc>
        <w:tc>
          <w:tcPr>
            <w:tcW w:w="734" w:type="dxa"/>
            <w:tcBorders>
              <w:top w:val="nil"/>
              <w:left w:val="nil"/>
              <w:bottom w:val="single" w:sz="4" w:space="0" w:color="auto"/>
              <w:right w:val="single" w:sz="4" w:space="0" w:color="auto"/>
            </w:tcBorders>
            <w:shd w:val="clear" w:color="auto" w:fill="auto"/>
            <w:noWrap/>
            <w:vAlign w:val="bottom"/>
            <w:hideMark/>
          </w:tcPr>
          <w:p w14:paraId="43BCEC51"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38,0</w:t>
            </w:r>
          </w:p>
        </w:tc>
        <w:tc>
          <w:tcPr>
            <w:tcW w:w="734" w:type="dxa"/>
            <w:tcBorders>
              <w:top w:val="nil"/>
              <w:left w:val="nil"/>
              <w:bottom w:val="single" w:sz="4" w:space="0" w:color="auto"/>
              <w:right w:val="single" w:sz="4" w:space="0" w:color="auto"/>
            </w:tcBorders>
            <w:shd w:val="clear" w:color="auto" w:fill="auto"/>
            <w:noWrap/>
            <w:vAlign w:val="bottom"/>
            <w:hideMark/>
          </w:tcPr>
          <w:p w14:paraId="41C2BD63"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49,1</w:t>
            </w:r>
          </w:p>
        </w:tc>
        <w:tc>
          <w:tcPr>
            <w:tcW w:w="1127" w:type="dxa"/>
            <w:tcBorders>
              <w:top w:val="nil"/>
              <w:left w:val="nil"/>
              <w:bottom w:val="single" w:sz="4" w:space="0" w:color="auto"/>
              <w:right w:val="single" w:sz="8" w:space="0" w:color="auto"/>
            </w:tcBorders>
            <w:shd w:val="clear" w:color="auto" w:fill="auto"/>
            <w:noWrap/>
            <w:vAlign w:val="bottom"/>
            <w:hideMark/>
          </w:tcPr>
          <w:p w14:paraId="66E85043"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29,4%</w:t>
            </w:r>
          </w:p>
        </w:tc>
      </w:tr>
      <w:tr w:rsidR="007B030B" w:rsidRPr="007B030B" w14:paraId="3B56CAEA" w14:textId="77777777" w:rsidTr="00F64097">
        <w:trPr>
          <w:trHeight w:val="402"/>
          <w:jc w:val="center"/>
        </w:trPr>
        <w:tc>
          <w:tcPr>
            <w:tcW w:w="2904" w:type="dxa"/>
            <w:tcBorders>
              <w:top w:val="nil"/>
              <w:left w:val="single" w:sz="8" w:space="0" w:color="auto"/>
              <w:bottom w:val="nil"/>
              <w:right w:val="nil"/>
            </w:tcBorders>
            <w:shd w:val="clear" w:color="auto" w:fill="auto"/>
            <w:noWrap/>
            <w:vAlign w:val="bottom"/>
            <w:hideMark/>
          </w:tcPr>
          <w:p w14:paraId="58293514" w14:textId="77777777" w:rsidR="007B030B" w:rsidRPr="007B030B" w:rsidRDefault="007B030B" w:rsidP="007B030B">
            <w:pPr>
              <w:spacing w:after="0" w:line="240" w:lineRule="auto"/>
              <w:rPr>
                <w:rFonts w:eastAsia="Times New Roman" w:cs="Arial"/>
                <w:b/>
                <w:bCs/>
                <w:sz w:val="18"/>
                <w:szCs w:val="18"/>
                <w:lang w:eastAsia="fr-FR"/>
              </w:rPr>
            </w:pPr>
            <w:r w:rsidRPr="007B030B">
              <w:rPr>
                <w:rFonts w:eastAsia="Times New Roman" w:cs="Arial"/>
                <w:b/>
                <w:bCs/>
                <w:sz w:val="18"/>
                <w:szCs w:val="18"/>
                <w:lang w:eastAsia="fr-FR"/>
              </w:rPr>
              <w:t>Echanges (X + M)  (Douanes françaises)</w:t>
            </w:r>
          </w:p>
        </w:tc>
        <w:tc>
          <w:tcPr>
            <w:tcW w:w="734" w:type="dxa"/>
            <w:tcBorders>
              <w:top w:val="nil"/>
              <w:left w:val="single" w:sz="8" w:space="0" w:color="auto"/>
              <w:bottom w:val="single" w:sz="4" w:space="0" w:color="auto"/>
              <w:right w:val="single" w:sz="4" w:space="0" w:color="auto"/>
            </w:tcBorders>
            <w:shd w:val="clear" w:color="auto" w:fill="auto"/>
            <w:noWrap/>
            <w:vAlign w:val="bottom"/>
            <w:hideMark/>
          </w:tcPr>
          <w:p w14:paraId="3FE63095"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17,1</w:t>
            </w:r>
          </w:p>
        </w:tc>
        <w:tc>
          <w:tcPr>
            <w:tcW w:w="734" w:type="dxa"/>
            <w:tcBorders>
              <w:top w:val="nil"/>
              <w:left w:val="nil"/>
              <w:bottom w:val="single" w:sz="4" w:space="0" w:color="auto"/>
              <w:right w:val="single" w:sz="4" w:space="0" w:color="auto"/>
            </w:tcBorders>
            <w:shd w:val="clear" w:color="auto" w:fill="auto"/>
            <w:noWrap/>
            <w:vAlign w:val="bottom"/>
            <w:hideMark/>
          </w:tcPr>
          <w:p w14:paraId="7CE2A8AE"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25,7</w:t>
            </w:r>
          </w:p>
        </w:tc>
        <w:tc>
          <w:tcPr>
            <w:tcW w:w="734" w:type="dxa"/>
            <w:tcBorders>
              <w:top w:val="nil"/>
              <w:left w:val="nil"/>
              <w:bottom w:val="single" w:sz="4" w:space="0" w:color="auto"/>
              <w:right w:val="single" w:sz="4" w:space="0" w:color="auto"/>
            </w:tcBorders>
            <w:shd w:val="clear" w:color="auto" w:fill="auto"/>
            <w:noWrap/>
            <w:vAlign w:val="bottom"/>
            <w:hideMark/>
          </w:tcPr>
          <w:p w14:paraId="1E6E1246"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54,7</w:t>
            </w:r>
          </w:p>
        </w:tc>
        <w:tc>
          <w:tcPr>
            <w:tcW w:w="734" w:type="dxa"/>
            <w:tcBorders>
              <w:top w:val="nil"/>
              <w:left w:val="nil"/>
              <w:bottom w:val="single" w:sz="4" w:space="0" w:color="auto"/>
              <w:right w:val="single" w:sz="4" w:space="0" w:color="auto"/>
            </w:tcBorders>
            <w:shd w:val="clear" w:color="auto" w:fill="auto"/>
            <w:noWrap/>
            <w:vAlign w:val="bottom"/>
            <w:hideMark/>
          </w:tcPr>
          <w:p w14:paraId="7FBFD307"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22,7</w:t>
            </w:r>
          </w:p>
        </w:tc>
        <w:tc>
          <w:tcPr>
            <w:tcW w:w="734" w:type="dxa"/>
            <w:tcBorders>
              <w:top w:val="nil"/>
              <w:left w:val="nil"/>
              <w:bottom w:val="single" w:sz="4" w:space="0" w:color="auto"/>
              <w:right w:val="single" w:sz="4" w:space="0" w:color="auto"/>
            </w:tcBorders>
            <w:shd w:val="clear" w:color="auto" w:fill="auto"/>
            <w:noWrap/>
            <w:vAlign w:val="bottom"/>
            <w:hideMark/>
          </w:tcPr>
          <w:p w14:paraId="7D0FBE4F"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29,9</w:t>
            </w:r>
          </w:p>
        </w:tc>
        <w:tc>
          <w:tcPr>
            <w:tcW w:w="734" w:type="dxa"/>
            <w:tcBorders>
              <w:top w:val="nil"/>
              <w:left w:val="nil"/>
              <w:bottom w:val="single" w:sz="4" w:space="0" w:color="auto"/>
              <w:right w:val="single" w:sz="4" w:space="0" w:color="auto"/>
            </w:tcBorders>
            <w:shd w:val="clear" w:color="auto" w:fill="auto"/>
            <w:noWrap/>
            <w:vAlign w:val="bottom"/>
            <w:hideMark/>
          </w:tcPr>
          <w:p w14:paraId="6004C5D2"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24,8</w:t>
            </w:r>
          </w:p>
        </w:tc>
        <w:tc>
          <w:tcPr>
            <w:tcW w:w="734" w:type="dxa"/>
            <w:tcBorders>
              <w:top w:val="nil"/>
              <w:left w:val="nil"/>
              <w:bottom w:val="single" w:sz="4" w:space="0" w:color="auto"/>
              <w:right w:val="single" w:sz="4" w:space="0" w:color="auto"/>
            </w:tcBorders>
            <w:shd w:val="clear" w:color="auto" w:fill="auto"/>
            <w:noWrap/>
            <w:vAlign w:val="bottom"/>
            <w:hideMark/>
          </w:tcPr>
          <w:p w14:paraId="32260380"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17,7</w:t>
            </w:r>
          </w:p>
        </w:tc>
        <w:tc>
          <w:tcPr>
            <w:tcW w:w="734" w:type="dxa"/>
            <w:tcBorders>
              <w:top w:val="nil"/>
              <w:left w:val="nil"/>
              <w:bottom w:val="single" w:sz="4" w:space="0" w:color="auto"/>
              <w:right w:val="single" w:sz="4" w:space="0" w:color="auto"/>
            </w:tcBorders>
            <w:shd w:val="clear" w:color="auto" w:fill="auto"/>
            <w:noWrap/>
            <w:vAlign w:val="bottom"/>
            <w:hideMark/>
          </w:tcPr>
          <w:p w14:paraId="776102CA"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32,6</w:t>
            </w:r>
          </w:p>
        </w:tc>
        <w:tc>
          <w:tcPr>
            <w:tcW w:w="1127" w:type="dxa"/>
            <w:tcBorders>
              <w:top w:val="nil"/>
              <w:left w:val="nil"/>
              <w:bottom w:val="single" w:sz="4" w:space="0" w:color="auto"/>
              <w:right w:val="single" w:sz="8" w:space="0" w:color="auto"/>
            </w:tcBorders>
            <w:shd w:val="clear" w:color="auto" w:fill="auto"/>
            <w:noWrap/>
            <w:vAlign w:val="bottom"/>
            <w:hideMark/>
          </w:tcPr>
          <w:p w14:paraId="5FB4EF8D" w14:textId="77777777" w:rsidR="007B030B" w:rsidRPr="007B030B" w:rsidRDefault="007B030B" w:rsidP="007B030B">
            <w:pPr>
              <w:spacing w:after="0" w:line="240" w:lineRule="auto"/>
              <w:jc w:val="right"/>
              <w:rPr>
                <w:rFonts w:eastAsia="Times New Roman" w:cs="Arial"/>
                <w:b/>
                <w:sz w:val="18"/>
                <w:szCs w:val="18"/>
                <w:lang w:eastAsia="fr-FR"/>
              </w:rPr>
            </w:pPr>
            <w:r w:rsidRPr="007B030B">
              <w:rPr>
                <w:rFonts w:eastAsia="Times New Roman" w:cs="Arial"/>
                <w:b/>
                <w:sz w:val="18"/>
                <w:szCs w:val="18"/>
                <w:lang w:eastAsia="fr-FR"/>
              </w:rPr>
              <w:t>84,4%</w:t>
            </w:r>
          </w:p>
        </w:tc>
      </w:tr>
      <w:tr w:rsidR="007B030B" w:rsidRPr="007B030B" w14:paraId="18564E30" w14:textId="77777777" w:rsidTr="00F64097">
        <w:trPr>
          <w:trHeight w:val="422"/>
          <w:jc w:val="center"/>
        </w:trPr>
        <w:tc>
          <w:tcPr>
            <w:tcW w:w="2904" w:type="dxa"/>
            <w:tcBorders>
              <w:top w:val="single" w:sz="4" w:space="0" w:color="auto"/>
              <w:left w:val="single" w:sz="8" w:space="0" w:color="auto"/>
              <w:bottom w:val="single" w:sz="8" w:space="0" w:color="auto"/>
              <w:right w:val="nil"/>
            </w:tcBorders>
            <w:shd w:val="clear" w:color="auto" w:fill="auto"/>
            <w:noWrap/>
            <w:vAlign w:val="bottom"/>
            <w:hideMark/>
          </w:tcPr>
          <w:p w14:paraId="0BB352EB" w14:textId="77777777" w:rsidR="007B030B" w:rsidRPr="007B030B" w:rsidRDefault="007B030B" w:rsidP="007B030B">
            <w:pPr>
              <w:spacing w:after="0" w:line="240" w:lineRule="auto"/>
              <w:rPr>
                <w:rFonts w:eastAsia="Times New Roman" w:cs="Arial"/>
                <w:sz w:val="18"/>
                <w:szCs w:val="18"/>
                <w:lang w:eastAsia="fr-FR"/>
              </w:rPr>
            </w:pPr>
            <w:r w:rsidRPr="007B030B">
              <w:rPr>
                <w:rFonts w:eastAsia="Times New Roman" w:cs="Arial"/>
                <w:sz w:val="18"/>
                <w:szCs w:val="18"/>
                <w:lang w:eastAsia="fr-FR"/>
              </w:rPr>
              <w:t>Echanges (X + M) (selon Monstat)</w:t>
            </w:r>
          </w:p>
        </w:tc>
        <w:tc>
          <w:tcPr>
            <w:tcW w:w="734" w:type="dxa"/>
            <w:tcBorders>
              <w:top w:val="nil"/>
              <w:left w:val="single" w:sz="8" w:space="0" w:color="auto"/>
              <w:bottom w:val="single" w:sz="8" w:space="0" w:color="auto"/>
              <w:right w:val="single" w:sz="4" w:space="0" w:color="auto"/>
            </w:tcBorders>
            <w:shd w:val="clear" w:color="auto" w:fill="auto"/>
            <w:noWrap/>
            <w:vAlign w:val="bottom"/>
            <w:hideMark/>
          </w:tcPr>
          <w:p w14:paraId="7980C806"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28,7</w:t>
            </w:r>
          </w:p>
        </w:tc>
        <w:tc>
          <w:tcPr>
            <w:tcW w:w="734" w:type="dxa"/>
            <w:tcBorders>
              <w:top w:val="nil"/>
              <w:left w:val="nil"/>
              <w:bottom w:val="single" w:sz="8" w:space="0" w:color="auto"/>
              <w:right w:val="single" w:sz="4" w:space="0" w:color="auto"/>
            </w:tcBorders>
            <w:shd w:val="clear" w:color="auto" w:fill="auto"/>
            <w:noWrap/>
            <w:vAlign w:val="bottom"/>
            <w:hideMark/>
          </w:tcPr>
          <w:p w14:paraId="5C869965"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33,4</w:t>
            </w:r>
          </w:p>
        </w:tc>
        <w:tc>
          <w:tcPr>
            <w:tcW w:w="734" w:type="dxa"/>
            <w:tcBorders>
              <w:top w:val="nil"/>
              <w:left w:val="nil"/>
              <w:bottom w:val="single" w:sz="8" w:space="0" w:color="auto"/>
              <w:right w:val="single" w:sz="4" w:space="0" w:color="auto"/>
            </w:tcBorders>
            <w:shd w:val="clear" w:color="auto" w:fill="auto"/>
            <w:noWrap/>
            <w:vAlign w:val="bottom"/>
            <w:hideMark/>
          </w:tcPr>
          <w:p w14:paraId="32B7A46A"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24,6</w:t>
            </w:r>
          </w:p>
        </w:tc>
        <w:tc>
          <w:tcPr>
            <w:tcW w:w="734" w:type="dxa"/>
            <w:tcBorders>
              <w:top w:val="nil"/>
              <w:left w:val="nil"/>
              <w:bottom w:val="single" w:sz="8" w:space="0" w:color="auto"/>
              <w:right w:val="single" w:sz="4" w:space="0" w:color="auto"/>
            </w:tcBorders>
            <w:shd w:val="clear" w:color="auto" w:fill="auto"/>
            <w:noWrap/>
            <w:vAlign w:val="bottom"/>
            <w:hideMark/>
          </w:tcPr>
          <w:p w14:paraId="4A2B3F7D"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20,8</w:t>
            </w:r>
          </w:p>
        </w:tc>
        <w:tc>
          <w:tcPr>
            <w:tcW w:w="734" w:type="dxa"/>
            <w:tcBorders>
              <w:top w:val="nil"/>
              <w:left w:val="nil"/>
              <w:bottom w:val="single" w:sz="8" w:space="0" w:color="auto"/>
              <w:right w:val="single" w:sz="4" w:space="0" w:color="auto"/>
            </w:tcBorders>
            <w:shd w:val="clear" w:color="auto" w:fill="auto"/>
            <w:noWrap/>
            <w:vAlign w:val="bottom"/>
            <w:hideMark/>
          </w:tcPr>
          <w:p w14:paraId="782F7519"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31,1</w:t>
            </w:r>
          </w:p>
        </w:tc>
        <w:tc>
          <w:tcPr>
            <w:tcW w:w="734" w:type="dxa"/>
            <w:tcBorders>
              <w:top w:val="nil"/>
              <w:left w:val="nil"/>
              <w:bottom w:val="single" w:sz="8" w:space="0" w:color="auto"/>
              <w:right w:val="single" w:sz="4" w:space="0" w:color="auto"/>
            </w:tcBorders>
            <w:shd w:val="clear" w:color="auto" w:fill="auto"/>
            <w:noWrap/>
            <w:vAlign w:val="bottom"/>
            <w:hideMark/>
          </w:tcPr>
          <w:p w14:paraId="4FAC465A"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26,9</w:t>
            </w:r>
          </w:p>
        </w:tc>
        <w:tc>
          <w:tcPr>
            <w:tcW w:w="734" w:type="dxa"/>
            <w:tcBorders>
              <w:top w:val="nil"/>
              <w:left w:val="nil"/>
              <w:bottom w:val="single" w:sz="8" w:space="0" w:color="auto"/>
              <w:right w:val="single" w:sz="4" w:space="0" w:color="auto"/>
            </w:tcBorders>
            <w:shd w:val="clear" w:color="auto" w:fill="auto"/>
            <w:noWrap/>
            <w:vAlign w:val="bottom"/>
            <w:hideMark/>
          </w:tcPr>
          <w:p w14:paraId="1F13D7B8"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45,4</w:t>
            </w:r>
          </w:p>
        </w:tc>
        <w:tc>
          <w:tcPr>
            <w:tcW w:w="734" w:type="dxa"/>
            <w:tcBorders>
              <w:top w:val="nil"/>
              <w:left w:val="nil"/>
              <w:bottom w:val="single" w:sz="8" w:space="0" w:color="auto"/>
              <w:right w:val="single" w:sz="4" w:space="0" w:color="auto"/>
            </w:tcBorders>
            <w:shd w:val="clear" w:color="auto" w:fill="auto"/>
            <w:noWrap/>
            <w:vAlign w:val="bottom"/>
            <w:hideMark/>
          </w:tcPr>
          <w:p w14:paraId="57476C55"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56,1</w:t>
            </w:r>
          </w:p>
        </w:tc>
        <w:tc>
          <w:tcPr>
            <w:tcW w:w="1127" w:type="dxa"/>
            <w:tcBorders>
              <w:top w:val="nil"/>
              <w:left w:val="nil"/>
              <w:bottom w:val="single" w:sz="8" w:space="0" w:color="auto"/>
              <w:right w:val="single" w:sz="8" w:space="0" w:color="auto"/>
            </w:tcBorders>
            <w:shd w:val="clear" w:color="auto" w:fill="auto"/>
            <w:noWrap/>
            <w:vAlign w:val="bottom"/>
            <w:hideMark/>
          </w:tcPr>
          <w:p w14:paraId="6A13E573" w14:textId="77777777" w:rsidR="007B030B" w:rsidRPr="007B030B" w:rsidRDefault="007B030B" w:rsidP="007B030B">
            <w:pPr>
              <w:spacing w:after="0" w:line="240" w:lineRule="auto"/>
              <w:jc w:val="right"/>
              <w:rPr>
                <w:rFonts w:eastAsia="Times New Roman" w:cs="Arial"/>
                <w:sz w:val="18"/>
                <w:szCs w:val="18"/>
                <w:lang w:eastAsia="fr-FR"/>
              </w:rPr>
            </w:pPr>
            <w:r w:rsidRPr="007B030B">
              <w:rPr>
                <w:rFonts w:eastAsia="Times New Roman" w:cs="Arial"/>
                <w:sz w:val="18"/>
                <w:szCs w:val="18"/>
                <w:lang w:eastAsia="fr-FR"/>
              </w:rPr>
              <w:t>23,4%</w:t>
            </w:r>
          </w:p>
        </w:tc>
      </w:tr>
    </w:tbl>
    <w:p w14:paraId="62AAB225" w14:textId="77777777" w:rsidR="007B030B" w:rsidRDefault="007B030B" w:rsidP="00100C2A">
      <w:pPr>
        <w:spacing w:after="0" w:line="240" w:lineRule="auto"/>
        <w:jc w:val="both"/>
        <w:rPr>
          <w:rFonts w:eastAsia="Times New Roman" w:cs="Arial"/>
          <w:bCs/>
          <w:color w:val="000000"/>
          <w:lang w:eastAsia="fr-FR"/>
        </w:rPr>
      </w:pPr>
    </w:p>
    <w:p w14:paraId="498123F6" w14:textId="77777777" w:rsidR="007B030B" w:rsidRDefault="007B030B" w:rsidP="00100C2A">
      <w:pPr>
        <w:spacing w:after="0" w:line="240" w:lineRule="auto"/>
        <w:jc w:val="both"/>
        <w:rPr>
          <w:rFonts w:eastAsia="Times New Roman" w:cs="Arial"/>
          <w:bCs/>
          <w:color w:val="000000"/>
          <w:lang w:eastAsia="fr-FR"/>
        </w:rPr>
      </w:pPr>
    </w:p>
    <w:p w14:paraId="7A4D6B22" w14:textId="77777777" w:rsidR="007B030B" w:rsidRDefault="007B030B" w:rsidP="00100C2A">
      <w:pPr>
        <w:spacing w:after="0" w:line="240" w:lineRule="auto"/>
        <w:jc w:val="both"/>
        <w:rPr>
          <w:rFonts w:eastAsia="Times New Roman" w:cs="Arial"/>
          <w:bCs/>
          <w:color w:val="000000"/>
          <w:lang w:eastAsia="fr-FR"/>
        </w:rPr>
      </w:pPr>
    </w:p>
    <w:p w14:paraId="0713DE3B" w14:textId="77777777" w:rsidR="007B030B" w:rsidRDefault="007B030B" w:rsidP="00100C2A">
      <w:pPr>
        <w:spacing w:after="0" w:line="240" w:lineRule="auto"/>
        <w:jc w:val="both"/>
        <w:rPr>
          <w:rFonts w:eastAsia="Times New Roman" w:cs="Arial"/>
          <w:bCs/>
          <w:color w:val="000000"/>
          <w:lang w:eastAsia="fr-FR"/>
        </w:rPr>
      </w:pPr>
    </w:p>
    <w:p w14:paraId="3DC76A6C" w14:textId="77777777" w:rsidR="007B030B" w:rsidRDefault="007B030B" w:rsidP="00100C2A">
      <w:pPr>
        <w:spacing w:after="0" w:line="240" w:lineRule="auto"/>
        <w:jc w:val="both"/>
        <w:rPr>
          <w:rFonts w:eastAsia="Times New Roman" w:cs="Arial"/>
          <w:bCs/>
          <w:color w:val="000000"/>
          <w:lang w:eastAsia="fr-FR"/>
        </w:rPr>
      </w:pPr>
    </w:p>
    <w:p w14:paraId="264A974A" w14:textId="77777777" w:rsidR="007B030B" w:rsidRDefault="007B030B" w:rsidP="00100C2A">
      <w:pPr>
        <w:spacing w:after="0" w:line="240" w:lineRule="auto"/>
        <w:jc w:val="both"/>
        <w:rPr>
          <w:rFonts w:eastAsia="Times New Roman" w:cs="Arial"/>
          <w:bCs/>
          <w:color w:val="000000"/>
          <w:lang w:eastAsia="fr-FR"/>
        </w:rPr>
      </w:pPr>
    </w:p>
    <w:p w14:paraId="169AB47F" w14:textId="77777777" w:rsidR="007B030B" w:rsidRDefault="007B030B" w:rsidP="00100C2A">
      <w:pPr>
        <w:spacing w:after="0" w:line="240" w:lineRule="auto"/>
        <w:jc w:val="both"/>
        <w:rPr>
          <w:rFonts w:eastAsia="Times New Roman" w:cs="Arial"/>
          <w:bCs/>
          <w:color w:val="000000"/>
          <w:lang w:eastAsia="fr-FR"/>
        </w:rPr>
      </w:pPr>
    </w:p>
    <w:p w14:paraId="2041400C" w14:textId="77777777" w:rsidR="007B030B" w:rsidRDefault="007B030B" w:rsidP="00100C2A">
      <w:pPr>
        <w:spacing w:after="0" w:line="240" w:lineRule="auto"/>
        <w:jc w:val="both"/>
        <w:rPr>
          <w:rFonts w:eastAsia="Times New Roman" w:cs="Arial"/>
          <w:bCs/>
          <w:color w:val="000000"/>
          <w:lang w:eastAsia="fr-FR"/>
        </w:rPr>
      </w:pPr>
    </w:p>
    <w:p w14:paraId="0242D232" w14:textId="77777777" w:rsidR="007B030B" w:rsidRDefault="007B030B" w:rsidP="00100C2A">
      <w:pPr>
        <w:spacing w:after="0" w:line="240" w:lineRule="auto"/>
        <w:jc w:val="both"/>
        <w:rPr>
          <w:rFonts w:eastAsia="Times New Roman" w:cs="Arial"/>
          <w:bCs/>
          <w:color w:val="000000"/>
          <w:lang w:eastAsia="fr-FR"/>
        </w:rPr>
      </w:pPr>
    </w:p>
    <w:p w14:paraId="588686BA" w14:textId="77777777" w:rsidR="007B030B" w:rsidRDefault="007B030B" w:rsidP="00100C2A">
      <w:pPr>
        <w:spacing w:after="0" w:line="240" w:lineRule="auto"/>
        <w:jc w:val="both"/>
        <w:rPr>
          <w:rFonts w:eastAsia="Times New Roman" w:cs="Arial"/>
          <w:bCs/>
          <w:color w:val="000000"/>
          <w:lang w:eastAsia="fr-FR"/>
        </w:rPr>
      </w:pPr>
    </w:p>
    <w:p w14:paraId="2530EB04" w14:textId="77777777" w:rsidR="00100C2A" w:rsidRDefault="00100C2A" w:rsidP="00F560D9">
      <w:pPr>
        <w:rPr>
          <w:rFonts w:eastAsia="Times New Roman" w:cs="Arial"/>
          <w:bCs/>
          <w:color w:val="000000"/>
          <w:lang w:eastAsia="fr-FR"/>
        </w:rPr>
      </w:pPr>
      <w:r w:rsidRPr="00F560D9">
        <w:rPr>
          <w:rFonts w:cs="Arial"/>
          <w:b/>
        </w:rPr>
        <w:t>Composition des exportations françaises au Monténégro (en milliers EUR)</w:t>
      </w:r>
    </w:p>
    <w:tbl>
      <w:tblPr>
        <w:tblW w:w="10854" w:type="dxa"/>
        <w:jc w:val="center"/>
        <w:tblCellMar>
          <w:left w:w="70" w:type="dxa"/>
          <w:right w:w="70" w:type="dxa"/>
        </w:tblCellMar>
        <w:tblLook w:val="04A0" w:firstRow="1" w:lastRow="0" w:firstColumn="1" w:lastColumn="0" w:noHBand="0" w:noVBand="1"/>
      </w:tblPr>
      <w:tblGrid>
        <w:gridCol w:w="2977"/>
        <w:gridCol w:w="641"/>
        <w:gridCol w:w="1189"/>
        <w:gridCol w:w="674"/>
        <w:gridCol w:w="1070"/>
        <w:gridCol w:w="1134"/>
        <w:gridCol w:w="1069"/>
        <w:gridCol w:w="1109"/>
        <w:gridCol w:w="991"/>
      </w:tblGrid>
      <w:tr w:rsidR="005A6336" w:rsidRPr="004A7FB0" w14:paraId="47F5B4D8" w14:textId="77777777" w:rsidTr="001C643E">
        <w:trPr>
          <w:trHeight w:val="234"/>
          <w:jc w:val="center"/>
        </w:trPr>
        <w:tc>
          <w:tcPr>
            <w:tcW w:w="2977" w:type="dxa"/>
            <w:tcBorders>
              <w:top w:val="single" w:sz="4" w:space="0" w:color="auto"/>
              <w:left w:val="single" w:sz="4" w:space="0" w:color="auto"/>
              <w:bottom w:val="single" w:sz="8" w:space="0" w:color="auto"/>
              <w:right w:val="single" w:sz="8" w:space="0" w:color="auto"/>
            </w:tcBorders>
            <w:shd w:val="clear" w:color="000000" w:fill="000000"/>
            <w:noWrap/>
            <w:vAlign w:val="center"/>
            <w:hideMark/>
          </w:tcPr>
          <w:p w14:paraId="26DB1583" w14:textId="77777777" w:rsidR="004A7FB0" w:rsidRPr="004A7FB0" w:rsidRDefault="004A7FB0" w:rsidP="004A7FB0">
            <w:pPr>
              <w:spacing w:after="0" w:line="240" w:lineRule="auto"/>
              <w:rPr>
                <w:rFonts w:eastAsia="Times New Roman" w:cs="Arial"/>
                <w:color w:val="FFFFFF"/>
                <w:sz w:val="18"/>
                <w:szCs w:val="18"/>
                <w:lang w:eastAsia="fr-FR"/>
              </w:rPr>
            </w:pPr>
            <w:r w:rsidRPr="004A7FB0">
              <w:rPr>
                <w:rFonts w:eastAsia="Times New Roman" w:cs="Arial"/>
                <w:color w:val="FFFFFF"/>
                <w:sz w:val="18"/>
                <w:szCs w:val="18"/>
                <w:lang w:eastAsia="fr-FR"/>
              </w:rPr>
              <w:t> </w:t>
            </w:r>
          </w:p>
        </w:tc>
        <w:tc>
          <w:tcPr>
            <w:tcW w:w="2504" w:type="dxa"/>
            <w:gridSpan w:val="3"/>
            <w:tcBorders>
              <w:top w:val="single" w:sz="4" w:space="0" w:color="auto"/>
              <w:left w:val="nil"/>
              <w:bottom w:val="nil"/>
              <w:right w:val="single" w:sz="8" w:space="0" w:color="000000"/>
            </w:tcBorders>
            <w:shd w:val="clear" w:color="000000" w:fill="000000"/>
            <w:noWrap/>
            <w:vAlign w:val="center"/>
            <w:hideMark/>
          </w:tcPr>
          <w:p w14:paraId="3DD50ECB" w14:textId="77777777" w:rsidR="004A7FB0" w:rsidRPr="004A7FB0" w:rsidRDefault="004A7FB0" w:rsidP="004A7FB0">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en milliers EUR</w:t>
            </w:r>
          </w:p>
        </w:tc>
        <w:tc>
          <w:tcPr>
            <w:tcW w:w="3273" w:type="dxa"/>
            <w:gridSpan w:val="3"/>
            <w:tcBorders>
              <w:top w:val="single" w:sz="4" w:space="0" w:color="auto"/>
              <w:left w:val="nil"/>
              <w:bottom w:val="nil"/>
              <w:right w:val="single" w:sz="8" w:space="0" w:color="000000"/>
            </w:tcBorders>
            <w:shd w:val="clear" w:color="000000" w:fill="000000"/>
            <w:noWrap/>
            <w:vAlign w:val="center"/>
            <w:hideMark/>
          </w:tcPr>
          <w:p w14:paraId="31A5512C" w14:textId="77777777" w:rsidR="004A7FB0" w:rsidRPr="004A7FB0" w:rsidRDefault="004A7FB0" w:rsidP="004A7FB0">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 du total</w:t>
            </w:r>
          </w:p>
        </w:tc>
        <w:tc>
          <w:tcPr>
            <w:tcW w:w="2100" w:type="dxa"/>
            <w:gridSpan w:val="2"/>
            <w:tcBorders>
              <w:top w:val="single" w:sz="4" w:space="0" w:color="auto"/>
              <w:left w:val="nil"/>
              <w:bottom w:val="single" w:sz="8" w:space="0" w:color="auto"/>
              <w:right w:val="single" w:sz="4" w:space="0" w:color="auto"/>
            </w:tcBorders>
            <w:shd w:val="clear" w:color="000000" w:fill="000000"/>
            <w:noWrap/>
            <w:vAlign w:val="center"/>
            <w:hideMark/>
          </w:tcPr>
          <w:p w14:paraId="2E27CD24" w14:textId="77777777" w:rsidR="004A7FB0" w:rsidRPr="004A7FB0" w:rsidRDefault="004A7FB0" w:rsidP="004A7FB0">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Evolution</w:t>
            </w:r>
          </w:p>
        </w:tc>
      </w:tr>
      <w:tr w:rsidR="004A7FB0" w:rsidRPr="004A7FB0" w14:paraId="45BF8668" w14:textId="77777777" w:rsidTr="001C643E">
        <w:trPr>
          <w:trHeight w:val="234"/>
          <w:jc w:val="center"/>
        </w:trPr>
        <w:tc>
          <w:tcPr>
            <w:tcW w:w="2977" w:type="dxa"/>
            <w:tcBorders>
              <w:top w:val="nil"/>
              <w:left w:val="single" w:sz="4" w:space="0" w:color="auto"/>
              <w:bottom w:val="single" w:sz="8" w:space="0" w:color="auto"/>
              <w:right w:val="nil"/>
            </w:tcBorders>
            <w:shd w:val="clear" w:color="000000" w:fill="000000"/>
            <w:vAlign w:val="center"/>
            <w:hideMark/>
          </w:tcPr>
          <w:p w14:paraId="3827A959" w14:textId="77777777" w:rsidR="004A7FB0" w:rsidRPr="004A7FB0" w:rsidRDefault="004A7FB0" w:rsidP="004A7FB0">
            <w:pPr>
              <w:spacing w:after="0" w:line="240" w:lineRule="auto"/>
              <w:rPr>
                <w:rFonts w:eastAsia="Times New Roman" w:cs="Arial"/>
                <w:color w:val="FFFFFF"/>
                <w:sz w:val="18"/>
                <w:szCs w:val="18"/>
                <w:lang w:eastAsia="fr-FR"/>
              </w:rPr>
            </w:pPr>
            <w:r w:rsidRPr="004A7FB0">
              <w:rPr>
                <w:rFonts w:eastAsia="Times New Roman" w:cs="Arial"/>
                <w:color w:val="FFFFFF"/>
                <w:sz w:val="18"/>
                <w:szCs w:val="18"/>
                <w:lang w:eastAsia="fr-FR"/>
              </w:rPr>
              <w:t>Source : Douanes françaises</w:t>
            </w:r>
          </w:p>
        </w:tc>
        <w:tc>
          <w:tcPr>
            <w:tcW w:w="641" w:type="dxa"/>
            <w:tcBorders>
              <w:top w:val="nil"/>
              <w:left w:val="single" w:sz="8" w:space="0" w:color="auto"/>
              <w:bottom w:val="single" w:sz="8" w:space="0" w:color="auto"/>
              <w:right w:val="nil"/>
            </w:tcBorders>
            <w:shd w:val="clear" w:color="000000" w:fill="000000"/>
            <w:noWrap/>
            <w:vAlign w:val="center"/>
            <w:hideMark/>
          </w:tcPr>
          <w:p w14:paraId="64987DDE"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2015</w:t>
            </w:r>
          </w:p>
        </w:tc>
        <w:tc>
          <w:tcPr>
            <w:tcW w:w="1189" w:type="dxa"/>
            <w:tcBorders>
              <w:top w:val="nil"/>
              <w:left w:val="nil"/>
              <w:bottom w:val="single" w:sz="8" w:space="0" w:color="auto"/>
              <w:right w:val="nil"/>
            </w:tcBorders>
            <w:shd w:val="clear" w:color="000000" w:fill="000000"/>
            <w:vAlign w:val="center"/>
            <w:hideMark/>
          </w:tcPr>
          <w:p w14:paraId="492192E0"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2016</w:t>
            </w:r>
          </w:p>
        </w:tc>
        <w:tc>
          <w:tcPr>
            <w:tcW w:w="674" w:type="dxa"/>
            <w:tcBorders>
              <w:top w:val="nil"/>
              <w:left w:val="nil"/>
              <w:bottom w:val="single" w:sz="8" w:space="0" w:color="auto"/>
              <w:right w:val="single" w:sz="8" w:space="0" w:color="auto"/>
            </w:tcBorders>
            <w:shd w:val="clear" w:color="000000" w:fill="000000"/>
            <w:vAlign w:val="center"/>
            <w:hideMark/>
          </w:tcPr>
          <w:p w14:paraId="280C846D"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2017</w:t>
            </w:r>
          </w:p>
        </w:tc>
        <w:tc>
          <w:tcPr>
            <w:tcW w:w="1070" w:type="dxa"/>
            <w:tcBorders>
              <w:top w:val="nil"/>
              <w:left w:val="nil"/>
              <w:bottom w:val="single" w:sz="8" w:space="0" w:color="auto"/>
              <w:right w:val="nil"/>
            </w:tcBorders>
            <w:shd w:val="clear" w:color="000000" w:fill="000000"/>
            <w:noWrap/>
            <w:vAlign w:val="center"/>
            <w:hideMark/>
          </w:tcPr>
          <w:p w14:paraId="03411667"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2015</w:t>
            </w:r>
          </w:p>
        </w:tc>
        <w:tc>
          <w:tcPr>
            <w:tcW w:w="1134" w:type="dxa"/>
            <w:tcBorders>
              <w:top w:val="nil"/>
              <w:left w:val="nil"/>
              <w:bottom w:val="single" w:sz="8" w:space="0" w:color="auto"/>
              <w:right w:val="nil"/>
            </w:tcBorders>
            <w:shd w:val="clear" w:color="000000" w:fill="000000"/>
            <w:vAlign w:val="center"/>
            <w:hideMark/>
          </w:tcPr>
          <w:p w14:paraId="730527DC"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2016</w:t>
            </w:r>
          </w:p>
        </w:tc>
        <w:tc>
          <w:tcPr>
            <w:tcW w:w="1069" w:type="dxa"/>
            <w:tcBorders>
              <w:top w:val="nil"/>
              <w:left w:val="nil"/>
              <w:bottom w:val="single" w:sz="8" w:space="0" w:color="auto"/>
              <w:right w:val="nil"/>
            </w:tcBorders>
            <w:shd w:val="clear" w:color="000000" w:fill="000000"/>
            <w:vAlign w:val="center"/>
            <w:hideMark/>
          </w:tcPr>
          <w:p w14:paraId="27D716D7"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2017</w:t>
            </w:r>
          </w:p>
        </w:tc>
        <w:tc>
          <w:tcPr>
            <w:tcW w:w="1109" w:type="dxa"/>
            <w:tcBorders>
              <w:top w:val="nil"/>
              <w:left w:val="single" w:sz="8" w:space="0" w:color="auto"/>
              <w:bottom w:val="single" w:sz="8" w:space="0" w:color="auto"/>
              <w:right w:val="nil"/>
            </w:tcBorders>
            <w:shd w:val="clear" w:color="000000" w:fill="000000"/>
            <w:noWrap/>
            <w:vAlign w:val="center"/>
            <w:hideMark/>
          </w:tcPr>
          <w:p w14:paraId="01940083"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2017/2016</w:t>
            </w:r>
          </w:p>
        </w:tc>
        <w:tc>
          <w:tcPr>
            <w:tcW w:w="991" w:type="dxa"/>
            <w:tcBorders>
              <w:top w:val="nil"/>
              <w:left w:val="nil"/>
              <w:bottom w:val="single" w:sz="8" w:space="0" w:color="auto"/>
              <w:right w:val="single" w:sz="4" w:space="0" w:color="auto"/>
            </w:tcBorders>
            <w:shd w:val="clear" w:color="000000" w:fill="000000"/>
            <w:noWrap/>
            <w:vAlign w:val="center"/>
            <w:hideMark/>
          </w:tcPr>
          <w:p w14:paraId="25E4633B" w14:textId="77777777" w:rsidR="004A7FB0" w:rsidRPr="004A7FB0" w:rsidRDefault="004A7FB0" w:rsidP="00C404B9">
            <w:pPr>
              <w:spacing w:after="0" w:line="240" w:lineRule="auto"/>
              <w:jc w:val="center"/>
              <w:rPr>
                <w:rFonts w:eastAsia="Times New Roman" w:cs="Arial"/>
                <w:color w:val="FFFFFF"/>
                <w:sz w:val="18"/>
                <w:szCs w:val="18"/>
                <w:lang w:eastAsia="fr-FR"/>
              </w:rPr>
            </w:pPr>
            <w:r w:rsidRPr="004A7FB0">
              <w:rPr>
                <w:rFonts w:eastAsia="Times New Roman" w:cs="Arial"/>
                <w:color w:val="FFFFFF"/>
                <w:sz w:val="18"/>
                <w:szCs w:val="18"/>
                <w:lang w:eastAsia="fr-FR"/>
              </w:rPr>
              <w:t>2017/2015</w:t>
            </w:r>
          </w:p>
        </w:tc>
      </w:tr>
      <w:tr w:rsidR="004A7FB0" w:rsidRPr="004A7FB0" w14:paraId="4443ACE3" w14:textId="77777777" w:rsidTr="001C643E">
        <w:trPr>
          <w:trHeight w:val="312"/>
          <w:jc w:val="center"/>
        </w:trPr>
        <w:tc>
          <w:tcPr>
            <w:tcW w:w="2977" w:type="dxa"/>
            <w:tcBorders>
              <w:top w:val="nil"/>
              <w:left w:val="single" w:sz="4" w:space="0" w:color="auto"/>
              <w:bottom w:val="nil"/>
              <w:right w:val="nil"/>
            </w:tcBorders>
            <w:shd w:val="clear" w:color="auto" w:fill="auto"/>
            <w:vAlign w:val="center"/>
            <w:hideMark/>
          </w:tcPr>
          <w:p w14:paraId="5F941D0F"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Matériels de transport</w:t>
            </w:r>
          </w:p>
        </w:tc>
        <w:tc>
          <w:tcPr>
            <w:tcW w:w="641" w:type="dxa"/>
            <w:tcBorders>
              <w:top w:val="nil"/>
              <w:left w:val="single" w:sz="8" w:space="0" w:color="auto"/>
              <w:bottom w:val="nil"/>
              <w:right w:val="nil"/>
            </w:tcBorders>
            <w:shd w:val="clear" w:color="auto" w:fill="auto"/>
            <w:noWrap/>
            <w:vAlign w:val="center"/>
            <w:hideMark/>
          </w:tcPr>
          <w:p w14:paraId="502B9F5E"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12077</w:t>
            </w:r>
          </w:p>
        </w:tc>
        <w:tc>
          <w:tcPr>
            <w:tcW w:w="1189" w:type="dxa"/>
            <w:tcBorders>
              <w:top w:val="nil"/>
              <w:left w:val="nil"/>
              <w:bottom w:val="nil"/>
              <w:right w:val="nil"/>
            </w:tcBorders>
            <w:shd w:val="clear" w:color="auto" w:fill="auto"/>
            <w:vAlign w:val="center"/>
            <w:hideMark/>
          </w:tcPr>
          <w:p w14:paraId="348DA799"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6869</w:t>
            </w:r>
          </w:p>
        </w:tc>
        <w:tc>
          <w:tcPr>
            <w:tcW w:w="674" w:type="dxa"/>
            <w:tcBorders>
              <w:top w:val="nil"/>
              <w:left w:val="nil"/>
              <w:bottom w:val="nil"/>
              <w:right w:val="single" w:sz="8" w:space="0" w:color="auto"/>
            </w:tcBorders>
            <w:shd w:val="clear" w:color="auto" w:fill="auto"/>
            <w:vAlign w:val="center"/>
            <w:hideMark/>
          </w:tcPr>
          <w:p w14:paraId="3963793E"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17282</w:t>
            </w:r>
          </w:p>
        </w:tc>
        <w:tc>
          <w:tcPr>
            <w:tcW w:w="1070" w:type="dxa"/>
            <w:tcBorders>
              <w:top w:val="nil"/>
              <w:left w:val="nil"/>
              <w:bottom w:val="nil"/>
              <w:right w:val="nil"/>
            </w:tcBorders>
            <w:shd w:val="clear" w:color="auto" w:fill="auto"/>
            <w:noWrap/>
            <w:vAlign w:val="center"/>
            <w:hideMark/>
          </w:tcPr>
          <w:p w14:paraId="382EFF2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62,33%</w:t>
            </w:r>
          </w:p>
        </w:tc>
        <w:tc>
          <w:tcPr>
            <w:tcW w:w="1134" w:type="dxa"/>
            <w:tcBorders>
              <w:top w:val="nil"/>
              <w:left w:val="nil"/>
              <w:bottom w:val="nil"/>
              <w:right w:val="nil"/>
            </w:tcBorders>
            <w:shd w:val="clear" w:color="auto" w:fill="auto"/>
            <w:noWrap/>
            <w:vAlign w:val="center"/>
            <w:hideMark/>
          </w:tcPr>
          <w:p w14:paraId="7DFEC3B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46,82%</w:t>
            </w:r>
          </w:p>
        </w:tc>
        <w:tc>
          <w:tcPr>
            <w:tcW w:w="1069" w:type="dxa"/>
            <w:tcBorders>
              <w:top w:val="nil"/>
              <w:left w:val="nil"/>
              <w:bottom w:val="nil"/>
              <w:right w:val="single" w:sz="8" w:space="0" w:color="auto"/>
            </w:tcBorders>
            <w:shd w:val="clear" w:color="auto" w:fill="auto"/>
            <w:vAlign w:val="center"/>
            <w:hideMark/>
          </w:tcPr>
          <w:p w14:paraId="31A75A2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59,1%</w:t>
            </w:r>
          </w:p>
        </w:tc>
        <w:tc>
          <w:tcPr>
            <w:tcW w:w="1109" w:type="dxa"/>
            <w:tcBorders>
              <w:top w:val="nil"/>
              <w:left w:val="nil"/>
              <w:bottom w:val="nil"/>
              <w:right w:val="nil"/>
            </w:tcBorders>
            <w:shd w:val="clear" w:color="auto" w:fill="auto"/>
            <w:noWrap/>
            <w:vAlign w:val="center"/>
            <w:hideMark/>
          </w:tcPr>
          <w:p w14:paraId="7C3ABB85"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151,60%</w:t>
            </w:r>
          </w:p>
        </w:tc>
        <w:tc>
          <w:tcPr>
            <w:tcW w:w="991" w:type="dxa"/>
            <w:tcBorders>
              <w:top w:val="nil"/>
              <w:left w:val="nil"/>
              <w:bottom w:val="nil"/>
              <w:right w:val="single" w:sz="4" w:space="0" w:color="auto"/>
            </w:tcBorders>
            <w:shd w:val="clear" w:color="auto" w:fill="auto"/>
            <w:vAlign w:val="center"/>
            <w:hideMark/>
          </w:tcPr>
          <w:p w14:paraId="7438DB5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43,1%</w:t>
            </w:r>
          </w:p>
        </w:tc>
      </w:tr>
      <w:tr w:rsidR="005A6336" w:rsidRPr="004A7FB0" w14:paraId="04B17FF3" w14:textId="77777777" w:rsidTr="001C643E">
        <w:trPr>
          <w:trHeight w:val="223"/>
          <w:jc w:val="center"/>
        </w:trPr>
        <w:tc>
          <w:tcPr>
            <w:tcW w:w="2977" w:type="dxa"/>
            <w:tcBorders>
              <w:top w:val="nil"/>
              <w:left w:val="single" w:sz="4" w:space="0" w:color="auto"/>
              <w:bottom w:val="nil"/>
              <w:right w:val="nil"/>
            </w:tcBorders>
            <w:shd w:val="clear" w:color="auto" w:fill="auto"/>
            <w:noWrap/>
            <w:vAlign w:val="center"/>
            <w:hideMark/>
          </w:tcPr>
          <w:p w14:paraId="734C6C49"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Bateaux de plaisance</w:t>
            </w:r>
          </w:p>
        </w:tc>
        <w:tc>
          <w:tcPr>
            <w:tcW w:w="641" w:type="dxa"/>
            <w:tcBorders>
              <w:top w:val="nil"/>
              <w:left w:val="single" w:sz="8" w:space="0" w:color="auto"/>
              <w:bottom w:val="nil"/>
              <w:right w:val="nil"/>
            </w:tcBorders>
            <w:shd w:val="clear" w:color="auto" w:fill="auto"/>
            <w:noWrap/>
            <w:vAlign w:val="center"/>
            <w:hideMark/>
          </w:tcPr>
          <w:p w14:paraId="55E314F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10915</w:t>
            </w:r>
          </w:p>
        </w:tc>
        <w:tc>
          <w:tcPr>
            <w:tcW w:w="1189" w:type="dxa"/>
            <w:tcBorders>
              <w:top w:val="nil"/>
              <w:left w:val="nil"/>
              <w:bottom w:val="nil"/>
              <w:right w:val="nil"/>
            </w:tcBorders>
            <w:shd w:val="clear" w:color="auto" w:fill="auto"/>
            <w:noWrap/>
            <w:vAlign w:val="center"/>
            <w:hideMark/>
          </w:tcPr>
          <w:p w14:paraId="03A8500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5340</w:t>
            </w:r>
          </w:p>
        </w:tc>
        <w:tc>
          <w:tcPr>
            <w:tcW w:w="674" w:type="dxa"/>
            <w:tcBorders>
              <w:top w:val="nil"/>
              <w:left w:val="nil"/>
              <w:bottom w:val="nil"/>
              <w:right w:val="single" w:sz="8" w:space="0" w:color="auto"/>
            </w:tcBorders>
            <w:shd w:val="clear" w:color="auto" w:fill="auto"/>
            <w:noWrap/>
            <w:vAlign w:val="center"/>
            <w:hideMark/>
          </w:tcPr>
          <w:p w14:paraId="6B12DF8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5588</w:t>
            </w:r>
          </w:p>
        </w:tc>
        <w:tc>
          <w:tcPr>
            <w:tcW w:w="1070" w:type="dxa"/>
            <w:tcBorders>
              <w:top w:val="nil"/>
              <w:left w:val="nil"/>
              <w:bottom w:val="nil"/>
              <w:right w:val="nil"/>
            </w:tcBorders>
            <w:shd w:val="clear" w:color="auto" w:fill="auto"/>
            <w:noWrap/>
            <w:vAlign w:val="center"/>
            <w:hideMark/>
          </w:tcPr>
          <w:p w14:paraId="4E1626B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56,34%</w:t>
            </w:r>
          </w:p>
        </w:tc>
        <w:tc>
          <w:tcPr>
            <w:tcW w:w="1134" w:type="dxa"/>
            <w:tcBorders>
              <w:top w:val="nil"/>
              <w:left w:val="nil"/>
              <w:bottom w:val="nil"/>
              <w:right w:val="nil"/>
            </w:tcBorders>
            <w:shd w:val="clear" w:color="auto" w:fill="auto"/>
            <w:noWrap/>
            <w:vAlign w:val="center"/>
            <w:hideMark/>
          </w:tcPr>
          <w:p w14:paraId="42D8313E"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36,40%</w:t>
            </w:r>
          </w:p>
        </w:tc>
        <w:tc>
          <w:tcPr>
            <w:tcW w:w="1069" w:type="dxa"/>
            <w:tcBorders>
              <w:top w:val="nil"/>
              <w:left w:val="nil"/>
              <w:bottom w:val="nil"/>
              <w:right w:val="single" w:sz="8" w:space="0" w:color="auto"/>
            </w:tcBorders>
            <w:shd w:val="clear" w:color="auto" w:fill="auto"/>
            <w:noWrap/>
            <w:vAlign w:val="center"/>
            <w:hideMark/>
          </w:tcPr>
          <w:p w14:paraId="7AE5ED8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19,1%</w:t>
            </w:r>
          </w:p>
        </w:tc>
        <w:tc>
          <w:tcPr>
            <w:tcW w:w="1109" w:type="dxa"/>
            <w:tcBorders>
              <w:top w:val="nil"/>
              <w:left w:val="nil"/>
              <w:bottom w:val="nil"/>
              <w:right w:val="nil"/>
            </w:tcBorders>
            <w:shd w:val="clear" w:color="auto" w:fill="auto"/>
            <w:noWrap/>
            <w:vAlign w:val="center"/>
            <w:hideMark/>
          </w:tcPr>
          <w:p w14:paraId="61D6B50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4,64%</w:t>
            </w:r>
          </w:p>
        </w:tc>
        <w:tc>
          <w:tcPr>
            <w:tcW w:w="991" w:type="dxa"/>
            <w:tcBorders>
              <w:top w:val="nil"/>
              <w:left w:val="nil"/>
              <w:bottom w:val="nil"/>
              <w:right w:val="single" w:sz="4" w:space="0" w:color="auto"/>
            </w:tcBorders>
            <w:shd w:val="clear" w:color="auto" w:fill="auto"/>
            <w:noWrap/>
            <w:vAlign w:val="center"/>
            <w:hideMark/>
          </w:tcPr>
          <w:p w14:paraId="04EC9F8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-48,8%</w:t>
            </w:r>
          </w:p>
        </w:tc>
      </w:tr>
      <w:tr w:rsidR="005A6336" w:rsidRPr="004A7FB0" w14:paraId="289B4F5F" w14:textId="77777777" w:rsidTr="001C643E">
        <w:trPr>
          <w:trHeight w:val="234"/>
          <w:jc w:val="center"/>
        </w:trPr>
        <w:tc>
          <w:tcPr>
            <w:tcW w:w="2977" w:type="dxa"/>
            <w:tcBorders>
              <w:top w:val="nil"/>
              <w:left w:val="single" w:sz="4" w:space="0" w:color="auto"/>
              <w:bottom w:val="nil"/>
              <w:right w:val="nil"/>
            </w:tcBorders>
            <w:shd w:val="clear" w:color="auto" w:fill="auto"/>
            <w:noWrap/>
            <w:vAlign w:val="center"/>
            <w:hideMark/>
          </w:tcPr>
          <w:p w14:paraId="288648B2"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Véhicules automobiles</w:t>
            </w:r>
          </w:p>
        </w:tc>
        <w:tc>
          <w:tcPr>
            <w:tcW w:w="641" w:type="dxa"/>
            <w:tcBorders>
              <w:top w:val="nil"/>
              <w:left w:val="single" w:sz="8" w:space="0" w:color="auto"/>
              <w:bottom w:val="nil"/>
              <w:right w:val="nil"/>
            </w:tcBorders>
            <w:shd w:val="clear" w:color="auto" w:fill="auto"/>
            <w:noWrap/>
            <w:vAlign w:val="center"/>
            <w:hideMark/>
          </w:tcPr>
          <w:p w14:paraId="429FB01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719</w:t>
            </w:r>
          </w:p>
        </w:tc>
        <w:tc>
          <w:tcPr>
            <w:tcW w:w="1189" w:type="dxa"/>
            <w:tcBorders>
              <w:top w:val="nil"/>
              <w:left w:val="nil"/>
              <w:bottom w:val="nil"/>
              <w:right w:val="nil"/>
            </w:tcBorders>
            <w:shd w:val="clear" w:color="auto" w:fill="auto"/>
            <w:noWrap/>
            <w:vAlign w:val="center"/>
            <w:hideMark/>
          </w:tcPr>
          <w:p w14:paraId="0332B9D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1004</w:t>
            </w:r>
          </w:p>
        </w:tc>
        <w:tc>
          <w:tcPr>
            <w:tcW w:w="674" w:type="dxa"/>
            <w:tcBorders>
              <w:top w:val="nil"/>
              <w:left w:val="nil"/>
              <w:bottom w:val="nil"/>
              <w:right w:val="single" w:sz="8" w:space="0" w:color="auto"/>
            </w:tcBorders>
            <w:shd w:val="clear" w:color="auto" w:fill="auto"/>
            <w:noWrap/>
            <w:vAlign w:val="center"/>
            <w:hideMark/>
          </w:tcPr>
          <w:p w14:paraId="4C0F7CD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11093</w:t>
            </w:r>
          </w:p>
        </w:tc>
        <w:tc>
          <w:tcPr>
            <w:tcW w:w="1070" w:type="dxa"/>
            <w:tcBorders>
              <w:top w:val="nil"/>
              <w:left w:val="nil"/>
              <w:bottom w:val="nil"/>
              <w:right w:val="nil"/>
            </w:tcBorders>
            <w:shd w:val="clear" w:color="auto" w:fill="auto"/>
            <w:noWrap/>
            <w:vAlign w:val="center"/>
            <w:hideMark/>
          </w:tcPr>
          <w:p w14:paraId="09360062"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3,71%</w:t>
            </w:r>
          </w:p>
        </w:tc>
        <w:tc>
          <w:tcPr>
            <w:tcW w:w="1134" w:type="dxa"/>
            <w:tcBorders>
              <w:top w:val="nil"/>
              <w:left w:val="nil"/>
              <w:bottom w:val="nil"/>
              <w:right w:val="nil"/>
            </w:tcBorders>
            <w:shd w:val="clear" w:color="auto" w:fill="auto"/>
            <w:noWrap/>
            <w:vAlign w:val="center"/>
            <w:hideMark/>
          </w:tcPr>
          <w:p w14:paraId="77B96EC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6,84%</w:t>
            </w:r>
          </w:p>
        </w:tc>
        <w:tc>
          <w:tcPr>
            <w:tcW w:w="1069" w:type="dxa"/>
            <w:tcBorders>
              <w:top w:val="nil"/>
              <w:left w:val="nil"/>
              <w:bottom w:val="nil"/>
              <w:right w:val="single" w:sz="8" w:space="0" w:color="auto"/>
            </w:tcBorders>
            <w:shd w:val="clear" w:color="auto" w:fill="auto"/>
            <w:noWrap/>
            <w:vAlign w:val="center"/>
            <w:hideMark/>
          </w:tcPr>
          <w:p w14:paraId="1FDB33C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37,9%</w:t>
            </w:r>
          </w:p>
        </w:tc>
        <w:tc>
          <w:tcPr>
            <w:tcW w:w="1109" w:type="dxa"/>
            <w:tcBorders>
              <w:top w:val="nil"/>
              <w:left w:val="nil"/>
              <w:bottom w:val="nil"/>
              <w:right w:val="nil"/>
            </w:tcBorders>
            <w:shd w:val="clear" w:color="auto" w:fill="auto"/>
            <w:noWrap/>
            <w:vAlign w:val="center"/>
            <w:hideMark/>
          </w:tcPr>
          <w:p w14:paraId="375DA2A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1004,88%</w:t>
            </w:r>
          </w:p>
        </w:tc>
        <w:tc>
          <w:tcPr>
            <w:tcW w:w="991" w:type="dxa"/>
            <w:tcBorders>
              <w:top w:val="nil"/>
              <w:left w:val="nil"/>
              <w:bottom w:val="nil"/>
              <w:right w:val="single" w:sz="4" w:space="0" w:color="auto"/>
            </w:tcBorders>
            <w:shd w:val="clear" w:color="auto" w:fill="auto"/>
            <w:noWrap/>
            <w:vAlign w:val="center"/>
            <w:hideMark/>
          </w:tcPr>
          <w:p w14:paraId="1E366A5E"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1442,8%</w:t>
            </w:r>
          </w:p>
        </w:tc>
      </w:tr>
      <w:tr w:rsidR="005A6336" w:rsidRPr="004A7FB0" w14:paraId="1C6E913F" w14:textId="77777777" w:rsidTr="001C643E">
        <w:trPr>
          <w:trHeight w:val="234"/>
          <w:jc w:val="center"/>
        </w:trPr>
        <w:tc>
          <w:tcPr>
            <w:tcW w:w="2977" w:type="dxa"/>
            <w:tcBorders>
              <w:top w:val="nil"/>
              <w:left w:val="single" w:sz="4" w:space="0" w:color="auto"/>
              <w:bottom w:val="single" w:sz="8" w:space="0" w:color="auto"/>
              <w:right w:val="nil"/>
            </w:tcBorders>
            <w:shd w:val="clear" w:color="auto" w:fill="auto"/>
            <w:noWrap/>
            <w:vAlign w:val="center"/>
            <w:hideMark/>
          </w:tcPr>
          <w:p w14:paraId="6940C454"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Aéronefs et engins spatiaux</w:t>
            </w:r>
          </w:p>
        </w:tc>
        <w:tc>
          <w:tcPr>
            <w:tcW w:w="641" w:type="dxa"/>
            <w:tcBorders>
              <w:top w:val="nil"/>
              <w:left w:val="single" w:sz="8" w:space="0" w:color="auto"/>
              <w:bottom w:val="single" w:sz="8" w:space="0" w:color="auto"/>
              <w:right w:val="nil"/>
            </w:tcBorders>
            <w:shd w:val="clear" w:color="auto" w:fill="auto"/>
            <w:noWrap/>
            <w:vAlign w:val="center"/>
            <w:hideMark/>
          </w:tcPr>
          <w:p w14:paraId="74B8BC0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412</w:t>
            </w:r>
          </w:p>
        </w:tc>
        <w:tc>
          <w:tcPr>
            <w:tcW w:w="1189" w:type="dxa"/>
            <w:tcBorders>
              <w:top w:val="nil"/>
              <w:left w:val="nil"/>
              <w:bottom w:val="single" w:sz="8" w:space="0" w:color="auto"/>
              <w:right w:val="nil"/>
            </w:tcBorders>
            <w:shd w:val="clear" w:color="auto" w:fill="auto"/>
            <w:noWrap/>
            <w:vAlign w:val="center"/>
            <w:hideMark/>
          </w:tcPr>
          <w:p w14:paraId="6E125FD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465</w:t>
            </w:r>
          </w:p>
        </w:tc>
        <w:tc>
          <w:tcPr>
            <w:tcW w:w="674" w:type="dxa"/>
            <w:tcBorders>
              <w:top w:val="nil"/>
              <w:left w:val="nil"/>
              <w:bottom w:val="single" w:sz="8" w:space="0" w:color="auto"/>
              <w:right w:val="single" w:sz="8" w:space="0" w:color="auto"/>
            </w:tcBorders>
            <w:shd w:val="clear" w:color="auto" w:fill="auto"/>
            <w:noWrap/>
            <w:vAlign w:val="center"/>
            <w:hideMark/>
          </w:tcPr>
          <w:p w14:paraId="51F47CE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455</w:t>
            </w:r>
          </w:p>
        </w:tc>
        <w:tc>
          <w:tcPr>
            <w:tcW w:w="1070" w:type="dxa"/>
            <w:tcBorders>
              <w:top w:val="nil"/>
              <w:left w:val="nil"/>
              <w:bottom w:val="single" w:sz="8" w:space="0" w:color="auto"/>
              <w:right w:val="nil"/>
            </w:tcBorders>
            <w:shd w:val="clear" w:color="auto" w:fill="auto"/>
            <w:noWrap/>
            <w:vAlign w:val="center"/>
            <w:hideMark/>
          </w:tcPr>
          <w:p w14:paraId="2B694945"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2,13%</w:t>
            </w:r>
          </w:p>
        </w:tc>
        <w:tc>
          <w:tcPr>
            <w:tcW w:w="1134" w:type="dxa"/>
            <w:tcBorders>
              <w:top w:val="nil"/>
              <w:left w:val="nil"/>
              <w:bottom w:val="single" w:sz="8" w:space="0" w:color="auto"/>
              <w:right w:val="nil"/>
            </w:tcBorders>
            <w:shd w:val="clear" w:color="auto" w:fill="auto"/>
            <w:noWrap/>
            <w:vAlign w:val="center"/>
            <w:hideMark/>
          </w:tcPr>
          <w:p w14:paraId="012CA64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3,17%</w:t>
            </w:r>
          </w:p>
        </w:tc>
        <w:tc>
          <w:tcPr>
            <w:tcW w:w="1069" w:type="dxa"/>
            <w:tcBorders>
              <w:top w:val="nil"/>
              <w:left w:val="nil"/>
              <w:bottom w:val="single" w:sz="8" w:space="0" w:color="auto"/>
              <w:right w:val="single" w:sz="8" w:space="0" w:color="auto"/>
            </w:tcBorders>
            <w:shd w:val="clear" w:color="auto" w:fill="auto"/>
            <w:noWrap/>
            <w:vAlign w:val="center"/>
            <w:hideMark/>
          </w:tcPr>
          <w:p w14:paraId="28F291F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1,6%</w:t>
            </w:r>
          </w:p>
        </w:tc>
        <w:tc>
          <w:tcPr>
            <w:tcW w:w="1109" w:type="dxa"/>
            <w:tcBorders>
              <w:top w:val="nil"/>
              <w:left w:val="nil"/>
              <w:bottom w:val="single" w:sz="8" w:space="0" w:color="auto"/>
              <w:right w:val="nil"/>
            </w:tcBorders>
            <w:shd w:val="clear" w:color="auto" w:fill="auto"/>
            <w:noWrap/>
            <w:vAlign w:val="center"/>
            <w:hideMark/>
          </w:tcPr>
          <w:p w14:paraId="7CD734E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-2,15%</w:t>
            </w:r>
          </w:p>
        </w:tc>
        <w:tc>
          <w:tcPr>
            <w:tcW w:w="991" w:type="dxa"/>
            <w:tcBorders>
              <w:top w:val="nil"/>
              <w:left w:val="nil"/>
              <w:bottom w:val="single" w:sz="8" w:space="0" w:color="auto"/>
              <w:right w:val="single" w:sz="4" w:space="0" w:color="auto"/>
            </w:tcBorders>
            <w:shd w:val="clear" w:color="auto" w:fill="auto"/>
            <w:noWrap/>
            <w:vAlign w:val="center"/>
            <w:hideMark/>
          </w:tcPr>
          <w:p w14:paraId="67149A4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10,4%</w:t>
            </w:r>
          </w:p>
        </w:tc>
      </w:tr>
      <w:tr w:rsidR="005A6336" w:rsidRPr="004A7FB0" w14:paraId="682EF00D" w14:textId="77777777" w:rsidTr="001C643E">
        <w:trPr>
          <w:trHeight w:val="370"/>
          <w:jc w:val="center"/>
        </w:trPr>
        <w:tc>
          <w:tcPr>
            <w:tcW w:w="2977" w:type="dxa"/>
            <w:tcBorders>
              <w:top w:val="nil"/>
              <w:left w:val="single" w:sz="4" w:space="0" w:color="auto"/>
              <w:bottom w:val="single" w:sz="8" w:space="0" w:color="auto"/>
              <w:right w:val="nil"/>
            </w:tcBorders>
            <w:shd w:val="clear" w:color="auto" w:fill="auto"/>
            <w:vAlign w:val="center"/>
            <w:hideMark/>
          </w:tcPr>
          <w:p w14:paraId="58C6EB5D"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Produits en caoutchouc et en plastique, produits minéraux divers</w:t>
            </w:r>
          </w:p>
        </w:tc>
        <w:tc>
          <w:tcPr>
            <w:tcW w:w="641" w:type="dxa"/>
            <w:tcBorders>
              <w:top w:val="nil"/>
              <w:left w:val="single" w:sz="8" w:space="0" w:color="auto"/>
              <w:bottom w:val="single" w:sz="8" w:space="0" w:color="auto"/>
              <w:right w:val="nil"/>
            </w:tcBorders>
            <w:shd w:val="clear" w:color="auto" w:fill="auto"/>
            <w:noWrap/>
            <w:vAlign w:val="center"/>
            <w:hideMark/>
          </w:tcPr>
          <w:p w14:paraId="6240219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734</w:t>
            </w:r>
          </w:p>
        </w:tc>
        <w:tc>
          <w:tcPr>
            <w:tcW w:w="1189" w:type="dxa"/>
            <w:tcBorders>
              <w:top w:val="nil"/>
              <w:left w:val="nil"/>
              <w:bottom w:val="single" w:sz="8" w:space="0" w:color="auto"/>
              <w:right w:val="nil"/>
            </w:tcBorders>
            <w:shd w:val="clear" w:color="auto" w:fill="auto"/>
            <w:noWrap/>
            <w:vAlign w:val="center"/>
            <w:hideMark/>
          </w:tcPr>
          <w:p w14:paraId="51551FF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809</w:t>
            </w:r>
          </w:p>
        </w:tc>
        <w:tc>
          <w:tcPr>
            <w:tcW w:w="674" w:type="dxa"/>
            <w:tcBorders>
              <w:top w:val="nil"/>
              <w:left w:val="nil"/>
              <w:bottom w:val="single" w:sz="8" w:space="0" w:color="auto"/>
              <w:right w:val="single" w:sz="8" w:space="0" w:color="auto"/>
            </w:tcBorders>
            <w:shd w:val="clear" w:color="auto" w:fill="auto"/>
            <w:noWrap/>
            <w:vAlign w:val="center"/>
            <w:hideMark/>
          </w:tcPr>
          <w:p w14:paraId="49B7B0C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592</w:t>
            </w:r>
          </w:p>
        </w:tc>
        <w:tc>
          <w:tcPr>
            <w:tcW w:w="1070" w:type="dxa"/>
            <w:tcBorders>
              <w:top w:val="nil"/>
              <w:left w:val="nil"/>
              <w:bottom w:val="single" w:sz="8" w:space="0" w:color="auto"/>
              <w:right w:val="nil"/>
            </w:tcBorders>
            <w:shd w:val="clear" w:color="auto" w:fill="auto"/>
            <w:noWrap/>
            <w:vAlign w:val="center"/>
            <w:hideMark/>
          </w:tcPr>
          <w:p w14:paraId="270593AB"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3,79%</w:t>
            </w:r>
          </w:p>
        </w:tc>
        <w:tc>
          <w:tcPr>
            <w:tcW w:w="1134" w:type="dxa"/>
            <w:tcBorders>
              <w:top w:val="nil"/>
              <w:left w:val="nil"/>
              <w:bottom w:val="single" w:sz="8" w:space="0" w:color="auto"/>
              <w:right w:val="nil"/>
            </w:tcBorders>
            <w:shd w:val="clear" w:color="auto" w:fill="auto"/>
            <w:noWrap/>
            <w:vAlign w:val="center"/>
            <w:hideMark/>
          </w:tcPr>
          <w:p w14:paraId="1BFEC4A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5,51%</w:t>
            </w:r>
          </w:p>
        </w:tc>
        <w:tc>
          <w:tcPr>
            <w:tcW w:w="1069" w:type="dxa"/>
            <w:tcBorders>
              <w:top w:val="nil"/>
              <w:left w:val="nil"/>
              <w:bottom w:val="single" w:sz="8" w:space="0" w:color="auto"/>
              <w:right w:val="single" w:sz="8" w:space="0" w:color="auto"/>
            </w:tcBorders>
            <w:shd w:val="clear" w:color="auto" w:fill="auto"/>
            <w:noWrap/>
            <w:vAlign w:val="center"/>
            <w:hideMark/>
          </w:tcPr>
          <w:p w14:paraId="17CA7FE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2,0%</w:t>
            </w:r>
          </w:p>
        </w:tc>
        <w:tc>
          <w:tcPr>
            <w:tcW w:w="1109" w:type="dxa"/>
            <w:tcBorders>
              <w:top w:val="nil"/>
              <w:left w:val="nil"/>
              <w:bottom w:val="single" w:sz="8" w:space="0" w:color="auto"/>
              <w:right w:val="nil"/>
            </w:tcBorders>
            <w:shd w:val="clear" w:color="auto" w:fill="auto"/>
            <w:noWrap/>
            <w:vAlign w:val="center"/>
            <w:hideMark/>
          </w:tcPr>
          <w:p w14:paraId="4E9A715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-26,84%</w:t>
            </w:r>
          </w:p>
        </w:tc>
        <w:tc>
          <w:tcPr>
            <w:tcW w:w="991" w:type="dxa"/>
            <w:tcBorders>
              <w:top w:val="nil"/>
              <w:left w:val="nil"/>
              <w:bottom w:val="single" w:sz="8" w:space="0" w:color="auto"/>
              <w:right w:val="single" w:sz="4" w:space="0" w:color="auto"/>
            </w:tcBorders>
            <w:shd w:val="clear" w:color="auto" w:fill="auto"/>
            <w:noWrap/>
            <w:vAlign w:val="center"/>
            <w:hideMark/>
          </w:tcPr>
          <w:p w14:paraId="15FB63C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-19,4%</w:t>
            </w:r>
          </w:p>
        </w:tc>
      </w:tr>
      <w:tr w:rsidR="004A7FB0" w:rsidRPr="004A7FB0" w14:paraId="4BE53207" w14:textId="77777777" w:rsidTr="001C643E">
        <w:trPr>
          <w:trHeight w:val="358"/>
          <w:jc w:val="center"/>
        </w:trPr>
        <w:tc>
          <w:tcPr>
            <w:tcW w:w="2977" w:type="dxa"/>
            <w:tcBorders>
              <w:top w:val="nil"/>
              <w:left w:val="single" w:sz="4" w:space="0" w:color="auto"/>
              <w:bottom w:val="nil"/>
              <w:right w:val="nil"/>
            </w:tcBorders>
            <w:shd w:val="clear" w:color="auto" w:fill="auto"/>
            <w:vAlign w:val="center"/>
            <w:hideMark/>
          </w:tcPr>
          <w:p w14:paraId="6BBC161C"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Equipements mécaniques, matériel électrique, électronique et informatique</w:t>
            </w:r>
          </w:p>
        </w:tc>
        <w:tc>
          <w:tcPr>
            <w:tcW w:w="641" w:type="dxa"/>
            <w:tcBorders>
              <w:top w:val="nil"/>
              <w:left w:val="single" w:sz="8" w:space="0" w:color="auto"/>
              <w:bottom w:val="nil"/>
              <w:right w:val="nil"/>
            </w:tcBorders>
            <w:shd w:val="clear" w:color="auto" w:fill="auto"/>
            <w:noWrap/>
            <w:vAlign w:val="center"/>
            <w:hideMark/>
          </w:tcPr>
          <w:p w14:paraId="29A925E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1811</w:t>
            </w:r>
          </w:p>
        </w:tc>
        <w:tc>
          <w:tcPr>
            <w:tcW w:w="1189" w:type="dxa"/>
            <w:tcBorders>
              <w:top w:val="nil"/>
              <w:left w:val="nil"/>
              <w:bottom w:val="nil"/>
              <w:right w:val="nil"/>
            </w:tcBorders>
            <w:shd w:val="clear" w:color="auto" w:fill="auto"/>
            <w:vAlign w:val="center"/>
            <w:hideMark/>
          </w:tcPr>
          <w:p w14:paraId="591F36B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3202</w:t>
            </w:r>
          </w:p>
        </w:tc>
        <w:tc>
          <w:tcPr>
            <w:tcW w:w="674" w:type="dxa"/>
            <w:tcBorders>
              <w:top w:val="nil"/>
              <w:left w:val="nil"/>
              <w:bottom w:val="nil"/>
              <w:right w:val="single" w:sz="8" w:space="0" w:color="auto"/>
            </w:tcBorders>
            <w:shd w:val="clear" w:color="auto" w:fill="auto"/>
            <w:vAlign w:val="center"/>
            <w:hideMark/>
          </w:tcPr>
          <w:p w14:paraId="1D835F6E"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5414</w:t>
            </w:r>
          </w:p>
        </w:tc>
        <w:tc>
          <w:tcPr>
            <w:tcW w:w="1070" w:type="dxa"/>
            <w:tcBorders>
              <w:top w:val="nil"/>
              <w:left w:val="nil"/>
              <w:bottom w:val="nil"/>
              <w:right w:val="nil"/>
            </w:tcBorders>
            <w:shd w:val="clear" w:color="auto" w:fill="auto"/>
            <w:noWrap/>
            <w:vAlign w:val="center"/>
            <w:hideMark/>
          </w:tcPr>
          <w:p w14:paraId="53F0BAF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9,35%</w:t>
            </w:r>
          </w:p>
        </w:tc>
        <w:tc>
          <w:tcPr>
            <w:tcW w:w="1134" w:type="dxa"/>
            <w:tcBorders>
              <w:top w:val="nil"/>
              <w:left w:val="nil"/>
              <w:bottom w:val="nil"/>
              <w:right w:val="nil"/>
            </w:tcBorders>
            <w:shd w:val="clear" w:color="auto" w:fill="auto"/>
            <w:noWrap/>
            <w:vAlign w:val="center"/>
            <w:hideMark/>
          </w:tcPr>
          <w:p w14:paraId="5541F59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21,83%</w:t>
            </w:r>
          </w:p>
        </w:tc>
        <w:tc>
          <w:tcPr>
            <w:tcW w:w="1069" w:type="dxa"/>
            <w:tcBorders>
              <w:top w:val="nil"/>
              <w:left w:val="nil"/>
              <w:bottom w:val="nil"/>
              <w:right w:val="single" w:sz="8" w:space="0" w:color="auto"/>
            </w:tcBorders>
            <w:shd w:val="clear" w:color="auto" w:fill="auto"/>
            <w:vAlign w:val="center"/>
            <w:hideMark/>
          </w:tcPr>
          <w:p w14:paraId="5E787E5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18,5%</w:t>
            </w:r>
          </w:p>
        </w:tc>
        <w:tc>
          <w:tcPr>
            <w:tcW w:w="1109" w:type="dxa"/>
            <w:tcBorders>
              <w:top w:val="nil"/>
              <w:left w:val="nil"/>
              <w:bottom w:val="nil"/>
              <w:right w:val="nil"/>
            </w:tcBorders>
            <w:shd w:val="clear" w:color="auto" w:fill="auto"/>
            <w:noWrap/>
            <w:vAlign w:val="center"/>
            <w:hideMark/>
          </w:tcPr>
          <w:p w14:paraId="4F93EEE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69,09%</w:t>
            </w:r>
          </w:p>
        </w:tc>
        <w:tc>
          <w:tcPr>
            <w:tcW w:w="991" w:type="dxa"/>
            <w:tcBorders>
              <w:top w:val="nil"/>
              <w:left w:val="nil"/>
              <w:bottom w:val="nil"/>
              <w:right w:val="single" w:sz="4" w:space="0" w:color="auto"/>
            </w:tcBorders>
            <w:shd w:val="clear" w:color="auto" w:fill="auto"/>
            <w:vAlign w:val="center"/>
            <w:hideMark/>
          </w:tcPr>
          <w:p w14:paraId="7940F43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199,0%</w:t>
            </w:r>
          </w:p>
        </w:tc>
      </w:tr>
      <w:tr w:rsidR="005A6336" w:rsidRPr="004A7FB0" w14:paraId="7B26F2D2" w14:textId="77777777" w:rsidTr="001C643E">
        <w:trPr>
          <w:trHeight w:val="358"/>
          <w:jc w:val="center"/>
        </w:trPr>
        <w:tc>
          <w:tcPr>
            <w:tcW w:w="2977" w:type="dxa"/>
            <w:tcBorders>
              <w:top w:val="nil"/>
              <w:left w:val="single" w:sz="4" w:space="0" w:color="auto"/>
              <w:bottom w:val="nil"/>
              <w:right w:val="nil"/>
            </w:tcBorders>
            <w:shd w:val="clear" w:color="auto" w:fill="auto"/>
            <w:vAlign w:val="center"/>
            <w:hideMark/>
          </w:tcPr>
          <w:p w14:paraId="32BD06CB"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Machines industrielles et agricoles, machines diverses</w:t>
            </w:r>
          </w:p>
        </w:tc>
        <w:tc>
          <w:tcPr>
            <w:tcW w:w="641" w:type="dxa"/>
            <w:tcBorders>
              <w:top w:val="nil"/>
              <w:left w:val="single" w:sz="8" w:space="0" w:color="auto"/>
              <w:bottom w:val="nil"/>
              <w:right w:val="nil"/>
            </w:tcBorders>
            <w:shd w:val="clear" w:color="auto" w:fill="auto"/>
            <w:noWrap/>
            <w:vAlign w:val="center"/>
            <w:hideMark/>
          </w:tcPr>
          <w:p w14:paraId="18BA61D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853</w:t>
            </w:r>
          </w:p>
        </w:tc>
        <w:tc>
          <w:tcPr>
            <w:tcW w:w="1189" w:type="dxa"/>
            <w:tcBorders>
              <w:top w:val="nil"/>
              <w:left w:val="nil"/>
              <w:bottom w:val="nil"/>
              <w:right w:val="nil"/>
            </w:tcBorders>
            <w:shd w:val="clear" w:color="auto" w:fill="auto"/>
            <w:noWrap/>
            <w:vAlign w:val="center"/>
            <w:hideMark/>
          </w:tcPr>
          <w:p w14:paraId="4147D1D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2140</w:t>
            </w:r>
          </w:p>
        </w:tc>
        <w:tc>
          <w:tcPr>
            <w:tcW w:w="674" w:type="dxa"/>
            <w:tcBorders>
              <w:top w:val="nil"/>
              <w:left w:val="nil"/>
              <w:bottom w:val="nil"/>
              <w:right w:val="single" w:sz="8" w:space="0" w:color="auto"/>
            </w:tcBorders>
            <w:shd w:val="clear" w:color="auto" w:fill="auto"/>
            <w:noWrap/>
            <w:vAlign w:val="center"/>
            <w:hideMark/>
          </w:tcPr>
          <w:p w14:paraId="7B49038F"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3246</w:t>
            </w:r>
          </w:p>
        </w:tc>
        <w:tc>
          <w:tcPr>
            <w:tcW w:w="1070" w:type="dxa"/>
            <w:tcBorders>
              <w:top w:val="nil"/>
              <w:left w:val="nil"/>
              <w:bottom w:val="nil"/>
              <w:right w:val="nil"/>
            </w:tcBorders>
            <w:shd w:val="clear" w:color="auto" w:fill="auto"/>
            <w:noWrap/>
            <w:vAlign w:val="center"/>
            <w:hideMark/>
          </w:tcPr>
          <w:p w14:paraId="3B1A6D7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4,40%</w:t>
            </w:r>
          </w:p>
        </w:tc>
        <w:tc>
          <w:tcPr>
            <w:tcW w:w="1134" w:type="dxa"/>
            <w:tcBorders>
              <w:top w:val="nil"/>
              <w:left w:val="nil"/>
              <w:bottom w:val="nil"/>
              <w:right w:val="nil"/>
            </w:tcBorders>
            <w:shd w:val="clear" w:color="auto" w:fill="auto"/>
            <w:noWrap/>
            <w:vAlign w:val="center"/>
            <w:hideMark/>
          </w:tcPr>
          <w:p w14:paraId="7FE6A3C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14,59%</w:t>
            </w:r>
          </w:p>
        </w:tc>
        <w:tc>
          <w:tcPr>
            <w:tcW w:w="1069" w:type="dxa"/>
            <w:tcBorders>
              <w:top w:val="nil"/>
              <w:left w:val="nil"/>
              <w:bottom w:val="nil"/>
              <w:right w:val="single" w:sz="8" w:space="0" w:color="auto"/>
            </w:tcBorders>
            <w:shd w:val="clear" w:color="auto" w:fill="auto"/>
            <w:noWrap/>
            <w:vAlign w:val="center"/>
            <w:hideMark/>
          </w:tcPr>
          <w:p w14:paraId="4E260DE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11,1%</w:t>
            </w:r>
          </w:p>
        </w:tc>
        <w:tc>
          <w:tcPr>
            <w:tcW w:w="1109" w:type="dxa"/>
            <w:tcBorders>
              <w:top w:val="nil"/>
              <w:left w:val="nil"/>
              <w:bottom w:val="nil"/>
              <w:right w:val="nil"/>
            </w:tcBorders>
            <w:shd w:val="clear" w:color="auto" w:fill="auto"/>
            <w:noWrap/>
            <w:vAlign w:val="center"/>
            <w:hideMark/>
          </w:tcPr>
          <w:p w14:paraId="24F0B755"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51,68%</w:t>
            </w:r>
          </w:p>
        </w:tc>
        <w:tc>
          <w:tcPr>
            <w:tcW w:w="991" w:type="dxa"/>
            <w:tcBorders>
              <w:top w:val="nil"/>
              <w:left w:val="nil"/>
              <w:bottom w:val="nil"/>
              <w:right w:val="single" w:sz="4" w:space="0" w:color="auto"/>
            </w:tcBorders>
            <w:shd w:val="clear" w:color="auto" w:fill="auto"/>
            <w:noWrap/>
            <w:vAlign w:val="center"/>
            <w:hideMark/>
          </w:tcPr>
          <w:p w14:paraId="41B5EBE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280,5%</w:t>
            </w:r>
          </w:p>
        </w:tc>
      </w:tr>
      <w:tr w:rsidR="005A6336" w:rsidRPr="004A7FB0" w14:paraId="11DCE1BA" w14:textId="77777777" w:rsidTr="001C643E">
        <w:trPr>
          <w:trHeight w:val="223"/>
          <w:jc w:val="center"/>
        </w:trPr>
        <w:tc>
          <w:tcPr>
            <w:tcW w:w="2977" w:type="dxa"/>
            <w:tcBorders>
              <w:top w:val="nil"/>
              <w:left w:val="single" w:sz="4" w:space="0" w:color="auto"/>
              <w:bottom w:val="nil"/>
              <w:right w:val="nil"/>
            </w:tcBorders>
            <w:shd w:val="clear" w:color="auto" w:fill="auto"/>
            <w:noWrap/>
            <w:vAlign w:val="center"/>
            <w:hideMark/>
          </w:tcPr>
          <w:p w14:paraId="203E6B8F"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Machines pour l'extraction ou la construction</w:t>
            </w:r>
          </w:p>
        </w:tc>
        <w:tc>
          <w:tcPr>
            <w:tcW w:w="641" w:type="dxa"/>
            <w:tcBorders>
              <w:top w:val="nil"/>
              <w:left w:val="single" w:sz="8" w:space="0" w:color="auto"/>
              <w:bottom w:val="nil"/>
              <w:right w:val="nil"/>
            </w:tcBorders>
            <w:shd w:val="clear" w:color="auto" w:fill="auto"/>
            <w:noWrap/>
            <w:vAlign w:val="center"/>
            <w:hideMark/>
          </w:tcPr>
          <w:p w14:paraId="15B11DC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134</w:t>
            </w:r>
          </w:p>
        </w:tc>
        <w:tc>
          <w:tcPr>
            <w:tcW w:w="1189" w:type="dxa"/>
            <w:tcBorders>
              <w:top w:val="nil"/>
              <w:left w:val="nil"/>
              <w:bottom w:val="nil"/>
              <w:right w:val="nil"/>
            </w:tcBorders>
            <w:shd w:val="clear" w:color="auto" w:fill="auto"/>
            <w:noWrap/>
            <w:vAlign w:val="center"/>
            <w:hideMark/>
          </w:tcPr>
          <w:p w14:paraId="46D0F49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1184</w:t>
            </w:r>
          </w:p>
        </w:tc>
        <w:tc>
          <w:tcPr>
            <w:tcW w:w="674" w:type="dxa"/>
            <w:tcBorders>
              <w:top w:val="nil"/>
              <w:left w:val="nil"/>
              <w:bottom w:val="nil"/>
              <w:right w:val="single" w:sz="8" w:space="0" w:color="auto"/>
            </w:tcBorders>
            <w:shd w:val="clear" w:color="auto" w:fill="auto"/>
            <w:noWrap/>
            <w:vAlign w:val="center"/>
            <w:hideMark/>
          </w:tcPr>
          <w:p w14:paraId="5943809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1321</w:t>
            </w:r>
          </w:p>
        </w:tc>
        <w:tc>
          <w:tcPr>
            <w:tcW w:w="1070" w:type="dxa"/>
            <w:tcBorders>
              <w:top w:val="nil"/>
              <w:left w:val="nil"/>
              <w:bottom w:val="nil"/>
              <w:right w:val="nil"/>
            </w:tcBorders>
            <w:shd w:val="clear" w:color="auto" w:fill="auto"/>
            <w:noWrap/>
            <w:vAlign w:val="center"/>
            <w:hideMark/>
          </w:tcPr>
          <w:p w14:paraId="0DA9353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0,69%</w:t>
            </w:r>
          </w:p>
        </w:tc>
        <w:tc>
          <w:tcPr>
            <w:tcW w:w="1134" w:type="dxa"/>
            <w:tcBorders>
              <w:top w:val="nil"/>
              <w:left w:val="nil"/>
              <w:bottom w:val="nil"/>
              <w:right w:val="nil"/>
            </w:tcBorders>
            <w:shd w:val="clear" w:color="auto" w:fill="auto"/>
            <w:noWrap/>
            <w:vAlign w:val="center"/>
            <w:hideMark/>
          </w:tcPr>
          <w:p w14:paraId="2F6B4B55"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8,07%</w:t>
            </w:r>
          </w:p>
        </w:tc>
        <w:tc>
          <w:tcPr>
            <w:tcW w:w="1069" w:type="dxa"/>
            <w:tcBorders>
              <w:top w:val="nil"/>
              <w:left w:val="nil"/>
              <w:bottom w:val="nil"/>
              <w:right w:val="single" w:sz="8" w:space="0" w:color="auto"/>
            </w:tcBorders>
            <w:shd w:val="clear" w:color="auto" w:fill="auto"/>
            <w:noWrap/>
            <w:vAlign w:val="center"/>
            <w:hideMark/>
          </w:tcPr>
          <w:p w14:paraId="4235D93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4,5%</w:t>
            </w:r>
          </w:p>
        </w:tc>
        <w:tc>
          <w:tcPr>
            <w:tcW w:w="1109" w:type="dxa"/>
            <w:tcBorders>
              <w:top w:val="nil"/>
              <w:left w:val="nil"/>
              <w:bottom w:val="nil"/>
              <w:right w:val="nil"/>
            </w:tcBorders>
            <w:shd w:val="clear" w:color="auto" w:fill="auto"/>
            <w:noWrap/>
            <w:vAlign w:val="center"/>
            <w:hideMark/>
          </w:tcPr>
          <w:p w14:paraId="26DBDF7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11,57%</w:t>
            </w:r>
          </w:p>
        </w:tc>
        <w:tc>
          <w:tcPr>
            <w:tcW w:w="991" w:type="dxa"/>
            <w:tcBorders>
              <w:top w:val="nil"/>
              <w:left w:val="nil"/>
              <w:bottom w:val="nil"/>
              <w:right w:val="single" w:sz="4" w:space="0" w:color="auto"/>
            </w:tcBorders>
            <w:shd w:val="clear" w:color="auto" w:fill="auto"/>
            <w:noWrap/>
            <w:vAlign w:val="center"/>
            <w:hideMark/>
          </w:tcPr>
          <w:p w14:paraId="5C17A33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885,8%</w:t>
            </w:r>
          </w:p>
        </w:tc>
      </w:tr>
      <w:tr w:rsidR="005A6336" w:rsidRPr="004A7FB0" w14:paraId="2A450819" w14:textId="77777777" w:rsidTr="001C643E">
        <w:trPr>
          <w:trHeight w:val="234"/>
          <w:jc w:val="center"/>
        </w:trPr>
        <w:tc>
          <w:tcPr>
            <w:tcW w:w="2977" w:type="dxa"/>
            <w:tcBorders>
              <w:top w:val="nil"/>
              <w:left w:val="single" w:sz="4" w:space="0" w:color="auto"/>
              <w:bottom w:val="single" w:sz="8" w:space="0" w:color="auto"/>
              <w:right w:val="nil"/>
            </w:tcBorders>
            <w:shd w:val="clear" w:color="auto" w:fill="auto"/>
            <w:noWrap/>
            <w:vAlign w:val="center"/>
            <w:hideMark/>
          </w:tcPr>
          <w:p w14:paraId="61CC5C42" w14:textId="77777777" w:rsidR="004A7FB0" w:rsidRPr="004A7FB0" w:rsidRDefault="004A7FB0" w:rsidP="004A7FB0">
            <w:pPr>
              <w:spacing w:after="0" w:line="240" w:lineRule="auto"/>
              <w:rPr>
                <w:rFonts w:eastAsia="Times New Roman" w:cs="Arial"/>
                <w:i/>
                <w:iCs/>
                <w:color w:val="000000"/>
                <w:sz w:val="18"/>
                <w:szCs w:val="18"/>
                <w:lang w:eastAsia="fr-FR"/>
              </w:rPr>
            </w:pPr>
            <w:r w:rsidRPr="004A7FB0">
              <w:rPr>
                <w:rFonts w:eastAsia="Times New Roman" w:cs="Arial"/>
                <w:i/>
                <w:iCs/>
                <w:color w:val="000000"/>
                <w:sz w:val="18"/>
                <w:szCs w:val="18"/>
                <w:lang w:eastAsia="fr-FR"/>
              </w:rPr>
              <w:t>Équipements électriques et ménagers</w:t>
            </w:r>
          </w:p>
        </w:tc>
        <w:tc>
          <w:tcPr>
            <w:tcW w:w="641" w:type="dxa"/>
            <w:tcBorders>
              <w:top w:val="nil"/>
              <w:left w:val="single" w:sz="8" w:space="0" w:color="auto"/>
              <w:bottom w:val="single" w:sz="8" w:space="0" w:color="auto"/>
              <w:right w:val="nil"/>
            </w:tcBorders>
            <w:shd w:val="clear" w:color="auto" w:fill="auto"/>
            <w:noWrap/>
            <w:vAlign w:val="center"/>
            <w:hideMark/>
          </w:tcPr>
          <w:p w14:paraId="77FC38F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571</w:t>
            </w:r>
          </w:p>
        </w:tc>
        <w:tc>
          <w:tcPr>
            <w:tcW w:w="1189" w:type="dxa"/>
            <w:tcBorders>
              <w:top w:val="nil"/>
              <w:left w:val="nil"/>
              <w:bottom w:val="single" w:sz="8" w:space="0" w:color="auto"/>
              <w:right w:val="nil"/>
            </w:tcBorders>
            <w:shd w:val="clear" w:color="auto" w:fill="auto"/>
            <w:noWrap/>
            <w:vAlign w:val="center"/>
            <w:hideMark/>
          </w:tcPr>
          <w:p w14:paraId="2221AE7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688</w:t>
            </w:r>
          </w:p>
        </w:tc>
        <w:tc>
          <w:tcPr>
            <w:tcW w:w="674" w:type="dxa"/>
            <w:tcBorders>
              <w:top w:val="nil"/>
              <w:left w:val="nil"/>
              <w:bottom w:val="single" w:sz="8" w:space="0" w:color="auto"/>
              <w:right w:val="single" w:sz="8" w:space="0" w:color="auto"/>
            </w:tcBorders>
            <w:shd w:val="clear" w:color="auto" w:fill="auto"/>
            <w:noWrap/>
            <w:vAlign w:val="center"/>
            <w:hideMark/>
          </w:tcPr>
          <w:p w14:paraId="012F3CE4"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543</w:t>
            </w:r>
          </w:p>
        </w:tc>
        <w:tc>
          <w:tcPr>
            <w:tcW w:w="1070" w:type="dxa"/>
            <w:tcBorders>
              <w:top w:val="nil"/>
              <w:left w:val="nil"/>
              <w:bottom w:val="single" w:sz="8" w:space="0" w:color="auto"/>
              <w:right w:val="nil"/>
            </w:tcBorders>
            <w:shd w:val="clear" w:color="auto" w:fill="auto"/>
            <w:noWrap/>
            <w:vAlign w:val="center"/>
            <w:hideMark/>
          </w:tcPr>
          <w:p w14:paraId="0C3F9DA5"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2,95%</w:t>
            </w:r>
          </w:p>
        </w:tc>
        <w:tc>
          <w:tcPr>
            <w:tcW w:w="1134" w:type="dxa"/>
            <w:tcBorders>
              <w:top w:val="nil"/>
              <w:left w:val="nil"/>
              <w:bottom w:val="single" w:sz="8" w:space="0" w:color="auto"/>
              <w:right w:val="nil"/>
            </w:tcBorders>
            <w:shd w:val="clear" w:color="auto" w:fill="auto"/>
            <w:noWrap/>
            <w:vAlign w:val="center"/>
            <w:hideMark/>
          </w:tcPr>
          <w:p w14:paraId="7F8F79D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4,69%</w:t>
            </w:r>
          </w:p>
        </w:tc>
        <w:tc>
          <w:tcPr>
            <w:tcW w:w="1069" w:type="dxa"/>
            <w:tcBorders>
              <w:top w:val="nil"/>
              <w:left w:val="nil"/>
              <w:bottom w:val="single" w:sz="8" w:space="0" w:color="auto"/>
              <w:right w:val="single" w:sz="8" w:space="0" w:color="auto"/>
            </w:tcBorders>
            <w:shd w:val="clear" w:color="auto" w:fill="auto"/>
            <w:noWrap/>
            <w:vAlign w:val="center"/>
            <w:hideMark/>
          </w:tcPr>
          <w:p w14:paraId="3E42FE19"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1,9%</w:t>
            </w:r>
          </w:p>
        </w:tc>
        <w:tc>
          <w:tcPr>
            <w:tcW w:w="1109" w:type="dxa"/>
            <w:tcBorders>
              <w:top w:val="nil"/>
              <w:left w:val="nil"/>
              <w:bottom w:val="single" w:sz="8" w:space="0" w:color="auto"/>
              <w:right w:val="nil"/>
            </w:tcBorders>
            <w:shd w:val="clear" w:color="auto" w:fill="auto"/>
            <w:noWrap/>
            <w:vAlign w:val="center"/>
            <w:hideMark/>
          </w:tcPr>
          <w:p w14:paraId="2B1AC90B"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-21,10%</w:t>
            </w:r>
          </w:p>
        </w:tc>
        <w:tc>
          <w:tcPr>
            <w:tcW w:w="991" w:type="dxa"/>
            <w:tcBorders>
              <w:top w:val="nil"/>
              <w:left w:val="nil"/>
              <w:bottom w:val="single" w:sz="8" w:space="0" w:color="auto"/>
              <w:right w:val="single" w:sz="4" w:space="0" w:color="auto"/>
            </w:tcBorders>
            <w:shd w:val="clear" w:color="auto" w:fill="auto"/>
            <w:noWrap/>
            <w:vAlign w:val="center"/>
            <w:hideMark/>
          </w:tcPr>
          <w:p w14:paraId="3D9F7B2B"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-4,9%</w:t>
            </w:r>
          </w:p>
        </w:tc>
      </w:tr>
      <w:tr w:rsidR="004A7FB0" w:rsidRPr="004A7FB0" w14:paraId="1D647D93" w14:textId="77777777" w:rsidTr="001C643E">
        <w:trPr>
          <w:trHeight w:val="234"/>
          <w:jc w:val="center"/>
        </w:trPr>
        <w:tc>
          <w:tcPr>
            <w:tcW w:w="2977" w:type="dxa"/>
            <w:tcBorders>
              <w:top w:val="nil"/>
              <w:left w:val="single" w:sz="4" w:space="0" w:color="auto"/>
              <w:bottom w:val="single" w:sz="8" w:space="0" w:color="auto"/>
              <w:right w:val="nil"/>
            </w:tcBorders>
            <w:shd w:val="clear" w:color="auto" w:fill="auto"/>
            <w:vAlign w:val="center"/>
            <w:hideMark/>
          </w:tcPr>
          <w:p w14:paraId="35547B01"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Produits pharmaceutiques</w:t>
            </w:r>
          </w:p>
        </w:tc>
        <w:tc>
          <w:tcPr>
            <w:tcW w:w="641" w:type="dxa"/>
            <w:tcBorders>
              <w:top w:val="nil"/>
              <w:left w:val="single" w:sz="8" w:space="0" w:color="auto"/>
              <w:bottom w:val="single" w:sz="8" w:space="0" w:color="auto"/>
              <w:right w:val="nil"/>
            </w:tcBorders>
            <w:shd w:val="clear" w:color="auto" w:fill="auto"/>
            <w:noWrap/>
            <w:vAlign w:val="center"/>
            <w:hideMark/>
          </w:tcPr>
          <w:p w14:paraId="04FF99A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1276</w:t>
            </w:r>
          </w:p>
        </w:tc>
        <w:tc>
          <w:tcPr>
            <w:tcW w:w="1189" w:type="dxa"/>
            <w:tcBorders>
              <w:top w:val="nil"/>
              <w:left w:val="nil"/>
              <w:bottom w:val="single" w:sz="8" w:space="0" w:color="auto"/>
              <w:right w:val="nil"/>
            </w:tcBorders>
            <w:shd w:val="clear" w:color="auto" w:fill="auto"/>
            <w:vAlign w:val="center"/>
            <w:hideMark/>
          </w:tcPr>
          <w:p w14:paraId="5CB554CF"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1053</w:t>
            </w:r>
          </w:p>
        </w:tc>
        <w:tc>
          <w:tcPr>
            <w:tcW w:w="674" w:type="dxa"/>
            <w:tcBorders>
              <w:top w:val="nil"/>
              <w:left w:val="nil"/>
              <w:bottom w:val="single" w:sz="8" w:space="0" w:color="auto"/>
              <w:right w:val="single" w:sz="8" w:space="0" w:color="auto"/>
            </w:tcBorders>
            <w:shd w:val="clear" w:color="auto" w:fill="auto"/>
            <w:vAlign w:val="center"/>
            <w:hideMark/>
          </w:tcPr>
          <w:p w14:paraId="3383603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516</w:t>
            </w:r>
          </w:p>
        </w:tc>
        <w:tc>
          <w:tcPr>
            <w:tcW w:w="1070" w:type="dxa"/>
            <w:tcBorders>
              <w:top w:val="nil"/>
              <w:left w:val="nil"/>
              <w:bottom w:val="single" w:sz="8" w:space="0" w:color="auto"/>
              <w:right w:val="nil"/>
            </w:tcBorders>
            <w:shd w:val="clear" w:color="auto" w:fill="auto"/>
            <w:noWrap/>
            <w:vAlign w:val="center"/>
            <w:hideMark/>
          </w:tcPr>
          <w:p w14:paraId="520E0D3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6,59%</w:t>
            </w:r>
          </w:p>
        </w:tc>
        <w:tc>
          <w:tcPr>
            <w:tcW w:w="1134" w:type="dxa"/>
            <w:tcBorders>
              <w:top w:val="nil"/>
              <w:left w:val="nil"/>
              <w:bottom w:val="single" w:sz="8" w:space="0" w:color="auto"/>
              <w:right w:val="nil"/>
            </w:tcBorders>
            <w:shd w:val="clear" w:color="auto" w:fill="auto"/>
            <w:noWrap/>
            <w:vAlign w:val="center"/>
            <w:hideMark/>
          </w:tcPr>
          <w:p w14:paraId="001DF9E2"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7,17%</w:t>
            </w:r>
          </w:p>
        </w:tc>
        <w:tc>
          <w:tcPr>
            <w:tcW w:w="1069" w:type="dxa"/>
            <w:tcBorders>
              <w:top w:val="nil"/>
              <w:left w:val="nil"/>
              <w:bottom w:val="single" w:sz="8" w:space="0" w:color="auto"/>
              <w:right w:val="single" w:sz="8" w:space="0" w:color="auto"/>
            </w:tcBorders>
            <w:shd w:val="clear" w:color="auto" w:fill="auto"/>
            <w:vAlign w:val="center"/>
            <w:hideMark/>
          </w:tcPr>
          <w:p w14:paraId="19081318"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1,8%</w:t>
            </w:r>
          </w:p>
        </w:tc>
        <w:tc>
          <w:tcPr>
            <w:tcW w:w="1109" w:type="dxa"/>
            <w:tcBorders>
              <w:top w:val="nil"/>
              <w:left w:val="nil"/>
              <w:bottom w:val="single" w:sz="8" w:space="0" w:color="auto"/>
              <w:right w:val="nil"/>
            </w:tcBorders>
            <w:shd w:val="clear" w:color="auto" w:fill="auto"/>
            <w:noWrap/>
            <w:vAlign w:val="center"/>
            <w:hideMark/>
          </w:tcPr>
          <w:p w14:paraId="65D137D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-51,02%</w:t>
            </w:r>
          </w:p>
        </w:tc>
        <w:tc>
          <w:tcPr>
            <w:tcW w:w="991" w:type="dxa"/>
            <w:tcBorders>
              <w:top w:val="nil"/>
              <w:left w:val="nil"/>
              <w:bottom w:val="single" w:sz="8" w:space="0" w:color="auto"/>
              <w:right w:val="single" w:sz="4" w:space="0" w:color="auto"/>
            </w:tcBorders>
            <w:shd w:val="clear" w:color="auto" w:fill="auto"/>
            <w:vAlign w:val="center"/>
            <w:hideMark/>
          </w:tcPr>
          <w:p w14:paraId="26581D3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-59,6%</w:t>
            </w:r>
          </w:p>
        </w:tc>
      </w:tr>
      <w:tr w:rsidR="004A7FB0" w:rsidRPr="004A7FB0" w14:paraId="49052819" w14:textId="77777777" w:rsidTr="001C643E">
        <w:trPr>
          <w:trHeight w:val="493"/>
          <w:jc w:val="center"/>
        </w:trPr>
        <w:tc>
          <w:tcPr>
            <w:tcW w:w="2977" w:type="dxa"/>
            <w:tcBorders>
              <w:top w:val="nil"/>
              <w:left w:val="single" w:sz="4" w:space="0" w:color="auto"/>
              <w:bottom w:val="single" w:sz="8" w:space="0" w:color="auto"/>
              <w:right w:val="nil"/>
            </w:tcBorders>
            <w:shd w:val="clear" w:color="auto" w:fill="auto"/>
            <w:vAlign w:val="center"/>
            <w:hideMark/>
          </w:tcPr>
          <w:p w14:paraId="333240A7"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Produits des industries agroalimentaires (IAA)</w:t>
            </w:r>
          </w:p>
        </w:tc>
        <w:tc>
          <w:tcPr>
            <w:tcW w:w="641" w:type="dxa"/>
            <w:tcBorders>
              <w:top w:val="nil"/>
              <w:left w:val="single" w:sz="8" w:space="0" w:color="auto"/>
              <w:bottom w:val="single" w:sz="8" w:space="0" w:color="auto"/>
              <w:right w:val="nil"/>
            </w:tcBorders>
            <w:shd w:val="clear" w:color="auto" w:fill="auto"/>
            <w:noWrap/>
            <w:vAlign w:val="center"/>
            <w:hideMark/>
          </w:tcPr>
          <w:p w14:paraId="29E70EC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1239</w:t>
            </w:r>
          </w:p>
        </w:tc>
        <w:tc>
          <w:tcPr>
            <w:tcW w:w="1189" w:type="dxa"/>
            <w:tcBorders>
              <w:top w:val="nil"/>
              <w:left w:val="nil"/>
              <w:bottom w:val="single" w:sz="8" w:space="0" w:color="auto"/>
              <w:right w:val="nil"/>
            </w:tcBorders>
            <w:shd w:val="clear" w:color="auto" w:fill="auto"/>
            <w:vAlign w:val="center"/>
            <w:hideMark/>
          </w:tcPr>
          <w:p w14:paraId="202DAB8D"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900</w:t>
            </w:r>
          </w:p>
        </w:tc>
        <w:tc>
          <w:tcPr>
            <w:tcW w:w="674" w:type="dxa"/>
            <w:tcBorders>
              <w:top w:val="nil"/>
              <w:left w:val="nil"/>
              <w:bottom w:val="single" w:sz="8" w:space="0" w:color="auto"/>
              <w:right w:val="single" w:sz="8" w:space="0" w:color="auto"/>
            </w:tcBorders>
            <w:shd w:val="clear" w:color="auto" w:fill="auto"/>
            <w:vAlign w:val="center"/>
            <w:hideMark/>
          </w:tcPr>
          <w:p w14:paraId="131B04D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1230</w:t>
            </w:r>
          </w:p>
        </w:tc>
        <w:tc>
          <w:tcPr>
            <w:tcW w:w="1070" w:type="dxa"/>
            <w:tcBorders>
              <w:top w:val="nil"/>
              <w:left w:val="nil"/>
              <w:bottom w:val="single" w:sz="8" w:space="0" w:color="auto"/>
              <w:right w:val="nil"/>
            </w:tcBorders>
            <w:shd w:val="clear" w:color="auto" w:fill="auto"/>
            <w:noWrap/>
            <w:vAlign w:val="center"/>
            <w:hideMark/>
          </w:tcPr>
          <w:p w14:paraId="0E962E16"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6,39%</w:t>
            </w:r>
          </w:p>
        </w:tc>
        <w:tc>
          <w:tcPr>
            <w:tcW w:w="1134" w:type="dxa"/>
            <w:tcBorders>
              <w:top w:val="nil"/>
              <w:left w:val="nil"/>
              <w:bottom w:val="single" w:sz="8" w:space="0" w:color="auto"/>
              <w:right w:val="nil"/>
            </w:tcBorders>
            <w:shd w:val="clear" w:color="auto" w:fill="auto"/>
            <w:noWrap/>
            <w:vAlign w:val="center"/>
            <w:hideMark/>
          </w:tcPr>
          <w:p w14:paraId="3272C461"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6,11%</w:t>
            </w:r>
          </w:p>
        </w:tc>
        <w:tc>
          <w:tcPr>
            <w:tcW w:w="1069" w:type="dxa"/>
            <w:tcBorders>
              <w:top w:val="nil"/>
              <w:left w:val="nil"/>
              <w:bottom w:val="single" w:sz="8" w:space="0" w:color="auto"/>
              <w:right w:val="single" w:sz="8" w:space="0" w:color="auto"/>
            </w:tcBorders>
            <w:shd w:val="clear" w:color="auto" w:fill="auto"/>
            <w:vAlign w:val="center"/>
            <w:hideMark/>
          </w:tcPr>
          <w:p w14:paraId="77E4948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4,2%</w:t>
            </w:r>
          </w:p>
        </w:tc>
        <w:tc>
          <w:tcPr>
            <w:tcW w:w="1109" w:type="dxa"/>
            <w:tcBorders>
              <w:top w:val="nil"/>
              <w:left w:val="nil"/>
              <w:bottom w:val="single" w:sz="8" w:space="0" w:color="auto"/>
              <w:right w:val="nil"/>
            </w:tcBorders>
            <w:shd w:val="clear" w:color="auto" w:fill="auto"/>
            <w:noWrap/>
            <w:vAlign w:val="center"/>
            <w:hideMark/>
          </w:tcPr>
          <w:p w14:paraId="1722F056"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36,68%</w:t>
            </w:r>
          </w:p>
        </w:tc>
        <w:tc>
          <w:tcPr>
            <w:tcW w:w="991" w:type="dxa"/>
            <w:tcBorders>
              <w:top w:val="nil"/>
              <w:left w:val="nil"/>
              <w:bottom w:val="single" w:sz="8" w:space="0" w:color="auto"/>
              <w:right w:val="single" w:sz="4" w:space="0" w:color="auto"/>
            </w:tcBorders>
            <w:shd w:val="clear" w:color="auto" w:fill="auto"/>
            <w:vAlign w:val="center"/>
            <w:hideMark/>
          </w:tcPr>
          <w:p w14:paraId="326ADF4C"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-0,7%</w:t>
            </w:r>
          </w:p>
        </w:tc>
      </w:tr>
      <w:tr w:rsidR="004A7FB0" w:rsidRPr="004A7FB0" w14:paraId="689274D4" w14:textId="77777777" w:rsidTr="001C643E">
        <w:trPr>
          <w:trHeight w:val="234"/>
          <w:jc w:val="center"/>
        </w:trPr>
        <w:tc>
          <w:tcPr>
            <w:tcW w:w="2977" w:type="dxa"/>
            <w:tcBorders>
              <w:top w:val="nil"/>
              <w:left w:val="single" w:sz="4" w:space="0" w:color="auto"/>
              <w:bottom w:val="single" w:sz="4" w:space="0" w:color="auto"/>
              <w:right w:val="nil"/>
            </w:tcBorders>
            <w:shd w:val="clear" w:color="auto" w:fill="auto"/>
            <w:vAlign w:val="center"/>
            <w:hideMark/>
          </w:tcPr>
          <w:p w14:paraId="65E0177A" w14:textId="77777777" w:rsidR="004A7FB0" w:rsidRPr="004A7FB0" w:rsidRDefault="004A7FB0" w:rsidP="004A7FB0">
            <w:pPr>
              <w:spacing w:after="0" w:line="240" w:lineRule="auto"/>
              <w:rPr>
                <w:rFonts w:eastAsia="Times New Roman" w:cs="Arial"/>
                <w:b/>
                <w:bCs/>
                <w:color w:val="000000"/>
                <w:sz w:val="18"/>
                <w:szCs w:val="18"/>
                <w:lang w:eastAsia="fr-FR"/>
              </w:rPr>
            </w:pPr>
            <w:r w:rsidRPr="004A7FB0">
              <w:rPr>
                <w:rFonts w:eastAsia="Times New Roman" w:cs="Arial"/>
                <w:b/>
                <w:bCs/>
                <w:color w:val="000000"/>
                <w:sz w:val="18"/>
                <w:szCs w:val="18"/>
                <w:lang w:eastAsia="fr-FR"/>
              </w:rPr>
              <w:t>Total</w:t>
            </w:r>
          </w:p>
        </w:tc>
        <w:tc>
          <w:tcPr>
            <w:tcW w:w="641" w:type="dxa"/>
            <w:tcBorders>
              <w:top w:val="nil"/>
              <w:left w:val="single" w:sz="8" w:space="0" w:color="auto"/>
              <w:bottom w:val="single" w:sz="4" w:space="0" w:color="auto"/>
              <w:right w:val="nil"/>
            </w:tcBorders>
            <w:shd w:val="clear" w:color="auto" w:fill="auto"/>
            <w:noWrap/>
            <w:vAlign w:val="center"/>
            <w:hideMark/>
          </w:tcPr>
          <w:p w14:paraId="60F19FB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19375</w:t>
            </w:r>
          </w:p>
        </w:tc>
        <w:tc>
          <w:tcPr>
            <w:tcW w:w="1189" w:type="dxa"/>
            <w:tcBorders>
              <w:top w:val="nil"/>
              <w:left w:val="nil"/>
              <w:bottom w:val="single" w:sz="4" w:space="0" w:color="auto"/>
              <w:right w:val="nil"/>
            </w:tcBorders>
            <w:shd w:val="clear" w:color="auto" w:fill="auto"/>
            <w:vAlign w:val="center"/>
            <w:hideMark/>
          </w:tcPr>
          <w:p w14:paraId="308883F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14671</w:t>
            </w:r>
          </w:p>
        </w:tc>
        <w:tc>
          <w:tcPr>
            <w:tcW w:w="674" w:type="dxa"/>
            <w:tcBorders>
              <w:top w:val="nil"/>
              <w:left w:val="nil"/>
              <w:bottom w:val="single" w:sz="4" w:space="0" w:color="auto"/>
              <w:right w:val="single" w:sz="8" w:space="0" w:color="auto"/>
            </w:tcBorders>
            <w:shd w:val="clear" w:color="auto" w:fill="auto"/>
            <w:vAlign w:val="center"/>
            <w:hideMark/>
          </w:tcPr>
          <w:p w14:paraId="003AC6AA"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29246</w:t>
            </w:r>
          </w:p>
        </w:tc>
        <w:tc>
          <w:tcPr>
            <w:tcW w:w="1070" w:type="dxa"/>
            <w:tcBorders>
              <w:top w:val="nil"/>
              <w:left w:val="nil"/>
              <w:bottom w:val="single" w:sz="4" w:space="0" w:color="auto"/>
              <w:right w:val="nil"/>
            </w:tcBorders>
            <w:shd w:val="clear" w:color="auto" w:fill="auto"/>
            <w:noWrap/>
            <w:vAlign w:val="center"/>
            <w:hideMark/>
          </w:tcPr>
          <w:p w14:paraId="69E422E0"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100,00%</w:t>
            </w:r>
          </w:p>
        </w:tc>
        <w:tc>
          <w:tcPr>
            <w:tcW w:w="1134" w:type="dxa"/>
            <w:tcBorders>
              <w:top w:val="nil"/>
              <w:left w:val="nil"/>
              <w:bottom w:val="single" w:sz="4" w:space="0" w:color="auto"/>
              <w:right w:val="nil"/>
            </w:tcBorders>
            <w:shd w:val="clear" w:color="auto" w:fill="auto"/>
            <w:noWrap/>
            <w:vAlign w:val="center"/>
            <w:hideMark/>
          </w:tcPr>
          <w:p w14:paraId="701AD14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100,00%</w:t>
            </w:r>
          </w:p>
        </w:tc>
        <w:tc>
          <w:tcPr>
            <w:tcW w:w="1069" w:type="dxa"/>
            <w:tcBorders>
              <w:top w:val="nil"/>
              <w:left w:val="nil"/>
              <w:bottom w:val="single" w:sz="4" w:space="0" w:color="auto"/>
              <w:right w:val="single" w:sz="8" w:space="0" w:color="auto"/>
            </w:tcBorders>
            <w:shd w:val="clear" w:color="auto" w:fill="auto"/>
            <w:vAlign w:val="center"/>
            <w:hideMark/>
          </w:tcPr>
          <w:p w14:paraId="4FDB7A37"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100,0%</w:t>
            </w:r>
          </w:p>
        </w:tc>
        <w:tc>
          <w:tcPr>
            <w:tcW w:w="1109" w:type="dxa"/>
            <w:tcBorders>
              <w:top w:val="nil"/>
              <w:left w:val="nil"/>
              <w:bottom w:val="single" w:sz="4" w:space="0" w:color="auto"/>
              <w:right w:val="nil"/>
            </w:tcBorders>
            <w:shd w:val="clear" w:color="000000" w:fill="000000"/>
            <w:noWrap/>
            <w:vAlign w:val="center"/>
            <w:hideMark/>
          </w:tcPr>
          <w:p w14:paraId="31EC7FB3"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 </w:t>
            </w:r>
          </w:p>
        </w:tc>
        <w:tc>
          <w:tcPr>
            <w:tcW w:w="991" w:type="dxa"/>
            <w:tcBorders>
              <w:top w:val="nil"/>
              <w:left w:val="nil"/>
              <w:bottom w:val="single" w:sz="4" w:space="0" w:color="auto"/>
              <w:right w:val="single" w:sz="4" w:space="0" w:color="auto"/>
            </w:tcBorders>
            <w:shd w:val="clear" w:color="000000" w:fill="000000"/>
            <w:vAlign w:val="center"/>
            <w:hideMark/>
          </w:tcPr>
          <w:p w14:paraId="58EBC932" w14:textId="77777777" w:rsidR="004A7FB0" w:rsidRPr="004A7FB0" w:rsidRDefault="004A7FB0" w:rsidP="004A7FB0">
            <w:pPr>
              <w:spacing w:after="0" w:line="240" w:lineRule="auto"/>
              <w:jc w:val="center"/>
              <w:rPr>
                <w:rFonts w:eastAsia="Times New Roman" w:cs="Arial"/>
                <w:color w:val="000000"/>
                <w:sz w:val="18"/>
                <w:szCs w:val="18"/>
                <w:lang w:eastAsia="fr-FR"/>
              </w:rPr>
            </w:pPr>
            <w:r w:rsidRPr="004A7FB0">
              <w:rPr>
                <w:rFonts w:eastAsia="Times New Roman" w:cs="Arial"/>
                <w:color w:val="000000"/>
                <w:sz w:val="18"/>
                <w:szCs w:val="18"/>
                <w:lang w:eastAsia="fr-FR"/>
              </w:rPr>
              <w:t> </w:t>
            </w:r>
          </w:p>
        </w:tc>
      </w:tr>
    </w:tbl>
    <w:p w14:paraId="008D2008" w14:textId="77777777" w:rsidR="00D312A3" w:rsidRDefault="00D312A3" w:rsidP="00100C2A">
      <w:pPr>
        <w:spacing w:after="0" w:line="240" w:lineRule="auto"/>
        <w:jc w:val="both"/>
        <w:rPr>
          <w:rFonts w:eastAsia="Times New Roman" w:cs="Arial"/>
          <w:bCs/>
          <w:color w:val="000000"/>
          <w:szCs w:val="18"/>
          <w:lang w:eastAsia="fr-FR"/>
        </w:rPr>
      </w:pPr>
    </w:p>
    <w:p w14:paraId="41128868" w14:textId="77777777" w:rsidR="00D312A3" w:rsidRDefault="00D312A3" w:rsidP="00100C2A">
      <w:pPr>
        <w:spacing w:after="0" w:line="240" w:lineRule="auto"/>
        <w:jc w:val="both"/>
        <w:rPr>
          <w:rFonts w:eastAsia="Times New Roman" w:cs="Arial"/>
          <w:bCs/>
          <w:color w:val="000000"/>
          <w:szCs w:val="18"/>
          <w:lang w:eastAsia="fr-FR"/>
        </w:rPr>
      </w:pPr>
    </w:p>
    <w:p w14:paraId="76E22CD4" w14:textId="77777777" w:rsidR="00100C2A" w:rsidRPr="00F560D9" w:rsidRDefault="00100C2A" w:rsidP="00100C2A">
      <w:pPr>
        <w:spacing w:after="0" w:line="240" w:lineRule="auto"/>
        <w:jc w:val="both"/>
        <w:rPr>
          <w:rFonts w:eastAsia="Times New Roman" w:cs="Arial"/>
          <w:b/>
          <w:bCs/>
          <w:color w:val="000000"/>
          <w:szCs w:val="18"/>
          <w:lang w:eastAsia="fr-FR"/>
        </w:rPr>
      </w:pPr>
      <w:r w:rsidRPr="00F560D9">
        <w:rPr>
          <w:rFonts w:eastAsia="Times New Roman" w:cs="Arial"/>
          <w:b/>
          <w:bCs/>
          <w:color w:val="000000"/>
          <w:szCs w:val="18"/>
          <w:lang w:eastAsia="fr-FR"/>
        </w:rPr>
        <w:t>Composition des importations françaises du Monténégro (en milliers EUR)</w:t>
      </w:r>
    </w:p>
    <w:p w14:paraId="451A7981" w14:textId="77777777" w:rsidR="00171137" w:rsidRPr="00100C2A" w:rsidRDefault="00171137" w:rsidP="00100C2A">
      <w:pPr>
        <w:spacing w:after="0" w:line="240" w:lineRule="auto"/>
        <w:jc w:val="both"/>
        <w:rPr>
          <w:rFonts w:eastAsia="Times New Roman" w:cs="Arial"/>
          <w:bCs/>
          <w:color w:val="000000"/>
          <w:szCs w:val="18"/>
          <w:lang w:eastAsia="fr-FR"/>
        </w:rPr>
      </w:pPr>
    </w:p>
    <w:tbl>
      <w:tblPr>
        <w:tblpPr w:leftFromText="141" w:rightFromText="141" w:vertAnchor="text" w:horzAnchor="margin" w:tblpXSpec="center" w:tblpY="-7"/>
        <w:tblW w:w="10763" w:type="dxa"/>
        <w:tblCellMar>
          <w:left w:w="70" w:type="dxa"/>
          <w:right w:w="70" w:type="dxa"/>
        </w:tblCellMar>
        <w:tblLook w:val="04A0" w:firstRow="1" w:lastRow="0" w:firstColumn="1" w:lastColumn="0" w:noHBand="0" w:noVBand="1"/>
      </w:tblPr>
      <w:tblGrid>
        <w:gridCol w:w="3392"/>
        <w:gridCol w:w="1015"/>
        <w:gridCol w:w="560"/>
        <w:gridCol w:w="560"/>
        <w:gridCol w:w="779"/>
        <w:gridCol w:w="1121"/>
        <w:gridCol w:w="1124"/>
        <w:gridCol w:w="991"/>
        <w:gridCol w:w="1221"/>
      </w:tblGrid>
      <w:tr w:rsidR="00F64097" w:rsidRPr="00F64097" w14:paraId="1EA4F2E9" w14:textId="77777777" w:rsidTr="001C643E">
        <w:trPr>
          <w:trHeight w:val="230"/>
        </w:trPr>
        <w:tc>
          <w:tcPr>
            <w:tcW w:w="3392" w:type="dxa"/>
            <w:tcBorders>
              <w:top w:val="single" w:sz="8" w:space="0" w:color="auto"/>
              <w:left w:val="single" w:sz="8" w:space="0" w:color="auto"/>
              <w:bottom w:val="single" w:sz="8" w:space="0" w:color="auto"/>
              <w:right w:val="nil"/>
            </w:tcBorders>
            <w:shd w:val="clear" w:color="000000" w:fill="000000"/>
            <w:noWrap/>
            <w:vAlign w:val="center"/>
            <w:hideMark/>
          </w:tcPr>
          <w:p w14:paraId="211BC9FF" w14:textId="77777777" w:rsidR="00F64097" w:rsidRPr="00F64097" w:rsidRDefault="00F64097" w:rsidP="00F64097">
            <w:pPr>
              <w:spacing w:after="0" w:line="240" w:lineRule="auto"/>
              <w:jc w:val="center"/>
              <w:rPr>
                <w:rFonts w:ascii="Calibri" w:eastAsia="Times New Roman" w:hAnsi="Calibri" w:cs="Calibri"/>
                <w:color w:val="000000"/>
                <w:sz w:val="18"/>
                <w:szCs w:val="18"/>
                <w:lang w:eastAsia="fr-FR"/>
              </w:rPr>
            </w:pPr>
            <w:r w:rsidRPr="00F64097">
              <w:rPr>
                <w:rFonts w:ascii="Calibri" w:eastAsia="Times New Roman" w:hAnsi="Calibri" w:cs="Calibri"/>
                <w:color w:val="000000"/>
                <w:sz w:val="18"/>
                <w:szCs w:val="18"/>
                <w:lang w:eastAsia="fr-FR"/>
              </w:rPr>
              <w:t> </w:t>
            </w:r>
          </w:p>
        </w:tc>
        <w:tc>
          <w:tcPr>
            <w:tcW w:w="2135" w:type="dxa"/>
            <w:gridSpan w:val="3"/>
            <w:tcBorders>
              <w:top w:val="single" w:sz="8" w:space="0" w:color="auto"/>
              <w:left w:val="single" w:sz="8" w:space="0" w:color="auto"/>
              <w:bottom w:val="single" w:sz="8" w:space="0" w:color="auto"/>
              <w:right w:val="single" w:sz="8" w:space="0" w:color="000000"/>
            </w:tcBorders>
            <w:shd w:val="clear" w:color="000000" w:fill="000000"/>
            <w:vAlign w:val="center"/>
            <w:hideMark/>
          </w:tcPr>
          <w:p w14:paraId="42210E0F"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en milliers EUR</w:t>
            </w:r>
          </w:p>
        </w:tc>
        <w:tc>
          <w:tcPr>
            <w:tcW w:w="3024"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092527CD"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 du total</w:t>
            </w:r>
          </w:p>
        </w:tc>
        <w:tc>
          <w:tcPr>
            <w:tcW w:w="2212" w:type="dxa"/>
            <w:gridSpan w:val="2"/>
            <w:tcBorders>
              <w:top w:val="single" w:sz="8" w:space="0" w:color="auto"/>
              <w:left w:val="nil"/>
              <w:bottom w:val="single" w:sz="8" w:space="0" w:color="auto"/>
              <w:right w:val="single" w:sz="8" w:space="0" w:color="000000"/>
            </w:tcBorders>
            <w:shd w:val="clear" w:color="000000" w:fill="000000"/>
            <w:noWrap/>
            <w:vAlign w:val="center"/>
            <w:hideMark/>
          </w:tcPr>
          <w:p w14:paraId="7174887C"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Evolution</w:t>
            </w:r>
          </w:p>
        </w:tc>
      </w:tr>
      <w:tr w:rsidR="00F64097" w:rsidRPr="00F64097" w14:paraId="25F57BDF" w14:textId="77777777" w:rsidTr="001C643E">
        <w:trPr>
          <w:trHeight w:val="230"/>
        </w:trPr>
        <w:tc>
          <w:tcPr>
            <w:tcW w:w="3392" w:type="dxa"/>
            <w:tcBorders>
              <w:top w:val="nil"/>
              <w:left w:val="single" w:sz="8" w:space="0" w:color="auto"/>
              <w:bottom w:val="single" w:sz="8" w:space="0" w:color="auto"/>
              <w:right w:val="single" w:sz="8" w:space="0" w:color="auto"/>
            </w:tcBorders>
            <w:shd w:val="clear" w:color="000000" w:fill="000000"/>
            <w:noWrap/>
            <w:vAlign w:val="center"/>
            <w:hideMark/>
          </w:tcPr>
          <w:p w14:paraId="3907A3D8" w14:textId="77777777" w:rsidR="00F64097" w:rsidRPr="00F64097" w:rsidRDefault="00F64097" w:rsidP="00F64097">
            <w:pPr>
              <w:spacing w:after="0" w:line="240" w:lineRule="auto"/>
              <w:rPr>
                <w:rFonts w:eastAsia="Times New Roman" w:cs="Arial"/>
                <w:color w:val="FFFFFF"/>
                <w:sz w:val="18"/>
                <w:szCs w:val="18"/>
                <w:lang w:eastAsia="fr-FR"/>
              </w:rPr>
            </w:pPr>
            <w:r w:rsidRPr="00F64097">
              <w:rPr>
                <w:rFonts w:eastAsia="Times New Roman" w:cs="Arial"/>
                <w:color w:val="FFFFFF"/>
                <w:sz w:val="18"/>
                <w:szCs w:val="18"/>
                <w:lang w:eastAsia="fr-FR"/>
              </w:rPr>
              <w:t>Source : Douanes françaises</w:t>
            </w:r>
          </w:p>
        </w:tc>
        <w:tc>
          <w:tcPr>
            <w:tcW w:w="1015" w:type="dxa"/>
            <w:tcBorders>
              <w:top w:val="nil"/>
              <w:left w:val="nil"/>
              <w:bottom w:val="single" w:sz="8" w:space="0" w:color="auto"/>
              <w:right w:val="nil"/>
            </w:tcBorders>
            <w:shd w:val="clear" w:color="000000" w:fill="000000"/>
            <w:noWrap/>
            <w:vAlign w:val="center"/>
            <w:hideMark/>
          </w:tcPr>
          <w:p w14:paraId="75256F14"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2015</w:t>
            </w:r>
          </w:p>
        </w:tc>
        <w:tc>
          <w:tcPr>
            <w:tcW w:w="560" w:type="dxa"/>
            <w:tcBorders>
              <w:top w:val="nil"/>
              <w:left w:val="nil"/>
              <w:bottom w:val="single" w:sz="8" w:space="0" w:color="auto"/>
              <w:right w:val="nil"/>
            </w:tcBorders>
            <w:shd w:val="clear" w:color="000000" w:fill="000000"/>
            <w:noWrap/>
            <w:vAlign w:val="center"/>
            <w:hideMark/>
          </w:tcPr>
          <w:p w14:paraId="38235BC3"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2016</w:t>
            </w:r>
          </w:p>
        </w:tc>
        <w:tc>
          <w:tcPr>
            <w:tcW w:w="560" w:type="dxa"/>
            <w:tcBorders>
              <w:top w:val="nil"/>
              <w:left w:val="nil"/>
              <w:bottom w:val="single" w:sz="8" w:space="0" w:color="auto"/>
              <w:right w:val="single" w:sz="8" w:space="0" w:color="auto"/>
            </w:tcBorders>
            <w:shd w:val="clear" w:color="000000" w:fill="000000"/>
            <w:noWrap/>
            <w:vAlign w:val="center"/>
            <w:hideMark/>
          </w:tcPr>
          <w:p w14:paraId="3F84074E"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2017</w:t>
            </w:r>
          </w:p>
        </w:tc>
        <w:tc>
          <w:tcPr>
            <w:tcW w:w="779" w:type="dxa"/>
            <w:tcBorders>
              <w:top w:val="nil"/>
              <w:left w:val="nil"/>
              <w:bottom w:val="single" w:sz="8" w:space="0" w:color="auto"/>
              <w:right w:val="nil"/>
            </w:tcBorders>
            <w:shd w:val="clear" w:color="000000" w:fill="000000"/>
            <w:noWrap/>
            <w:vAlign w:val="center"/>
            <w:hideMark/>
          </w:tcPr>
          <w:p w14:paraId="47190F68"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2015</w:t>
            </w:r>
          </w:p>
        </w:tc>
        <w:tc>
          <w:tcPr>
            <w:tcW w:w="1121" w:type="dxa"/>
            <w:tcBorders>
              <w:top w:val="nil"/>
              <w:left w:val="nil"/>
              <w:bottom w:val="single" w:sz="8" w:space="0" w:color="auto"/>
              <w:right w:val="nil"/>
            </w:tcBorders>
            <w:shd w:val="clear" w:color="000000" w:fill="000000"/>
            <w:vAlign w:val="center"/>
            <w:hideMark/>
          </w:tcPr>
          <w:p w14:paraId="2770DAFB"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2016</w:t>
            </w:r>
          </w:p>
        </w:tc>
        <w:tc>
          <w:tcPr>
            <w:tcW w:w="1124" w:type="dxa"/>
            <w:tcBorders>
              <w:top w:val="nil"/>
              <w:left w:val="nil"/>
              <w:bottom w:val="single" w:sz="8" w:space="0" w:color="auto"/>
              <w:right w:val="nil"/>
            </w:tcBorders>
            <w:shd w:val="clear" w:color="000000" w:fill="000000"/>
            <w:vAlign w:val="center"/>
            <w:hideMark/>
          </w:tcPr>
          <w:p w14:paraId="2F8D8CA0"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2017</w:t>
            </w:r>
          </w:p>
        </w:tc>
        <w:tc>
          <w:tcPr>
            <w:tcW w:w="991" w:type="dxa"/>
            <w:tcBorders>
              <w:top w:val="nil"/>
              <w:left w:val="single" w:sz="8" w:space="0" w:color="auto"/>
              <w:bottom w:val="single" w:sz="8" w:space="0" w:color="auto"/>
              <w:right w:val="nil"/>
            </w:tcBorders>
            <w:shd w:val="clear" w:color="000000" w:fill="000000"/>
            <w:noWrap/>
            <w:vAlign w:val="center"/>
            <w:hideMark/>
          </w:tcPr>
          <w:p w14:paraId="6458ADDD"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2017/2016</w:t>
            </w:r>
          </w:p>
        </w:tc>
        <w:tc>
          <w:tcPr>
            <w:tcW w:w="1221" w:type="dxa"/>
            <w:tcBorders>
              <w:top w:val="nil"/>
              <w:left w:val="nil"/>
              <w:bottom w:val="single" w:sz="8" w:space="0" w:color="auto"/>
              <w:right w:val="single" w:sz="8" w:space="0" w:color="auto"/>
            </w:tcBorders>
            <w:shd w:val="clear" w:color="000000" w:fill="000000"/>
            <w:noWrap/>
            <w:vAlign w:val="center"/>
            <w:hideMark/>
          </w:tcPr>
          <w:p w14:paraId="3912EC06" w14:textId="77777777" w:rsidR="00F64097" w:rsidRPr="00F64097" w:rsidRDefault="00F64097" w:rsidP="00F64097">
            <w:pPr>
              <w:spacing w:after="0" w:line="240" w:lineRule="auto"/>
              <w:jc w:val="center"/>
              <w:rPr>
                <w:rFonts w:eastAsia="Times New Roman" w:cs="Arial"/>
                <w:color w:val="FFFFFF"/>
                <w:sz w:val="18"/>
                <w:szCs w:val="18"/>
                <w:lang w:eastAsia="fr-FR"/>
              </w:rPr>
            </w:pPr>
            <w:r w:rsidRPr="00F64097">
              <w:rPr>
                <w:rFonts w:eastAsia="Times New Roman" w:cs="Arial"/>
                <w:color w:val="FFFFFF"/>
                <w:sz w:val="18"/>
                <w:szCs w:val="18"/>
                <w:lang w:eastAsia="fr-FR"/>
              </w:rPr>
              <w:t>2017/2015</w:t>
            </w:r>
          </w:p>
        </w:tc>
      </w:tr>
      <w:tr w:rsidR="00F64097" w:rsidRPr="00F64097" w14:paraId="5AA015D2" w14:textId="77777777" w:rsidTr="001C643E">
        <w:trPr>
          <w:trHeight w:val="529"/>
        </w:trPr>
        <w:tc>
          <w:tcPr>
            <w:tcW w:w="3392" w:type="dxa"/>
            <w:tcBorders>
              <w:top w:val="nil"/>
              <w:left w:val="single" w:sz="8" w:space="0" w:color="auto"/>
              <w:bottom w:val="nil"/>
              <w:right w:val="single" w:sz="8" w:space="0" w:color="auto"/>
            </w:tcBorders>
            <w:shd w:val="clear" w:color="auto" w:fill="auto"/>
            <w:vAlign w:val="center"/>
            <w:hideMark/>
          </w:tcPr>
          <w:p w14:paraId="559DDDBF" w14:textId="77777777" w:rsidR="00F64097" w:rsidRPr="00F64097" w:rsidRDefault="00F64097" w:rsidP="00F64097">
            <w:pPr>
              <w:spacing w:after="0" w:line="240" w:lineRule="auto"/>
              <w:rPr>
                <w:rFonts w:eastAsia="Times New Roman" w:cs="Arial"/>
                <w:b/>
                <w:bCs/>
                <w:color w:val="000000"/>
                <w:sz w:val="18"/>
                <w:szCs w:val="18"/>
                <w:lang w:eastAsia="fr-FR"/>
              </w:rPr>
            </w:pPr>
            <w:r w:rsidRPr="00F64097">
              <w:rPr>
                <w:rFonts w:eastAsia="Times New Roman" w:cs="Arial"/>
                <w:b/>
                <w:bCs/>
                <w:color w:val="000000"/>
                <w:sz w:val="18"/>
                <w:szCs w:val="18"/>
                <w:lang w:eastAsia="fr-FR"/>
              </w:rPr>
              <w:t>Equipements mécaniques, matériel électrique, électronique et informatique</w:t>
            </w:r>
          </w:p>
        </w:tc>
        <w:tc>
          <w:tcPr>
            <w:tcW w:w="1015" w:type="dxa"/>
            <w:tcBorders>
              <w:top w:val="nil"/>
              <w:left w:val="nil"/>
              <w:bottom w:val="nil"/>
              <w:right w:val="nil"/>
            </w:tcBorders>
            <w:shd w:val="clear" w:color="auto" w:fill="auto"/>
            <w:noWrap/>
            <w:vAlign w:val="center"/>
            <w:hideMark/>
          </w:tcPr>
          <w:p w14:paraId="2450CA0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2024</w:t>
            </w:r>
          </w:p>
        </w:tc>
        <w:tc>
          <w:tcPr>
            <w:tcW w:w="560" w:type="dxa"/>
            <w:tcBorders>
              <w:top w:val="nil"/>
              <w:left w:val="nil"/>
              <w:bottom w:val="nil"/>
              <w:right w:val="nil"/>
            </w:tcBorders>
            <w:shd w:val="clear" w:color="auto" w:fill="auto"/>
            <w:noWrap/>
            <w:vAlign w:val="center"/>
            <w:hideMark/>
          </w:tcPr>
          <w:p w14:paraId="4A62EF4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1035</w:t>
            </w:r>
          </w:p>
        </w:tc>
        <w:tc>
          <w:tcPr>
            <w:tcW w:w="560" w:type="dxa"/>
            <w:tcBorders>
              <w:top w:val="nil"/>
              <w:left w:val="nil"/>
              <w:bottom w:val="nil"/>
              <w:right w:val="single" w:sz="8" w:space="0" w:color="auto"/>
            </w:tcBorders>
            <w:shd w:val="clear" w:color="auto" w:fill="auto"/>
            <w:noWrap/>
            <w:vAlign w:val="center"/>
            <w:hideMark/>
          </w:tcPr>
          <w:p w14:paraId="5082E30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2008</w:t>
            </w:r>
          </w:p>
        </w:tc>
        <w:tc>
          <w:tcPr>
            <w:tcW w:w="779" w:type="dxa"/>
            <w:tcBorders>
              <w:top w:val="nil"/>
              <w:left w:val="nil"/>
              <w:bottom w:val="nil"/>
              <w:right w:val="nil"/>
            </w:tcBorders>
            <w:shd w:val="clear" w:color="auto" w:fill="auto"/>
            <w:noWrap/>
            <w:vAlign w:val="center"/>
            <w:hideMark/>
          </w:tcPr>
          <w:p w14:paraId="484CEBD2"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37,3%</w:t>
            </w:r>
          </w:p>
        </w:tc>
        <w:tc>
          <w:tcPr>
            <w:tcW w:w="1121" w:type="dxa"/>
            <w:tcBorders>
              <w:top w:val="nil"/>
              <w:left w:val="nil"/>
              <w:bottom w:val="nil"/>
              <w:right w:val="nil"/>
            </w:tcBorders>
            <w:shd w:val="clear" w:color="auto" w:fill="auto"/>
            <w:noWrap/>
            <w:vAlign w:val="center"/>
            <w:hideMark/>
          </w:tcPr>
          <w:p w14:paraId="49FFB46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34,7%</w:t>
            </w:r>
          </w:p>
        </w:tc>
        <w:tc>
          <w:tcPr>
            <w:tcW w:w="1124" w:type="dxa"/>
            <w:tcBorders>
              <w:top w:val="nil"/>
              <w:left w:val="nil"/>
              <w:bottom w:val="nil"/>
              <w:right w:val="single" w:sz="8" w:space="0" w:color="auto"/>
            </w:tcBorders>
            <w:shd w:val="clear" w:color="auto" w:fill="auto"/>
            <w:noWrap/>
            <w:vAlign w:val="center"/>
            <w:hideMark/>
          </w:tcPr>
          <w:p w14:paraId="71B98AF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60,4%</w:t>
            </w:r>
          </w:p>
        </w:tc>
        <w:tc>
          <w:tcPr>
            <w:tcW w:w="991" w:type="dxa"/>
            <w:tcBorders>
              <w:top w:val="nil"/>
              <w:left w:val="nil"/>
              <w:bottom w:val="nil"/>
              <w:right w:val="nil"/>
            </w:tcBorders>
            <w:shd w:val="clear" w:color="auto" w:fill="auto"/>
            <w:noWrap/>
            <w:vAlign w:val="center"/>
            <w:hideMark/>
          </w:tcPr>
          <w:p w14:paraId="76152FF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94,0%</w:t>
            </w:r>
          </w:p>
        </w:tc>
        <w:tc>
          <w:tcPr>
            <w:tcW w:w="1221" w:type="dxa"/>
            <w:tcBorders>
              <w:top w:val="nil"/>
              <w:left w:val="nil"/>
              <w:bottom w:val="nil"/>
              <w:right w:val="single" w:sz="8" w:space="0" w:color="auto"/>
            </w:tcBorders>
            <w:shd w:val="clear" w:color="auto" w:fill="auto"/>
            <w:noWrap/>
            <w:vAlign w:val="center"/>
            <w:hideMark/>
          </w:tcPr>
          <w:p w14:paraId="25DE423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-0,8%</w:t>
            </w:r>
          </w:p>
        </w:tc>
      </w:tr>
      <w:tr w:rsidR="00F64097" w:rsidRPr="00F64097" w14:paraId="127C6349" w14:textId="77777777" w:rsidTr="001C643E">
        <w:trPr>
          <w:trHeight w:val="352"/>
        </w:trPr>
        <w:tc>
          <w:tcPr>
            <w:tcW w:w="3392" w:type="dxa"/>
            <w:tcBorders>
              <w:top w:val="nil"/>
              <w:left w:val="single" w:sz="8" w:space="0" w:color="auto"/>
              <w:bottom w:val="nil"/>
              <w:right w:val="single" w:sz="8" w:space="0" w:color="auto"/>
            </w:tcBorders>
            <w:shd w:val="clear" w:color="auto" w:fill="auto"/>
            <w:vAlign w:val="center"/>
            <w:hideMark/>
          </w:tcPr>
          <w:p w14:paraId="4A71F633"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Produits informatiques, électroniques et optiques</w:t>
            </w:r>
          </w:p>
        </w:tc>
        <w:tc>
          <w:tcPr>
            <w:tcW w:w="1015" w:type="dxa"/>
            <w:tcBorders>
              <w:top w:val="nil"/>
              <w:left w:val="nil"/>
              <w:bottom w:val="nil"/>
              <w:right w:val="nil"/>
            </w:tcBorders>
            <w:shd w:val="clear" w:color="auto" w:fill="auto"/>
            <w:noWrap/>
            <w:vAlign w:val="center"/>
            <w:hideMark/>
          </w:tcPr>
          <w:p w14:paraId="10FEE55C"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114</w:t>
            </w:r>
          </w:p>
        </w:tc>
        <w:tc>
          <w:tcPr>
            <w:tcW w:w="560" w:type="dxa"/>
            <w:tcBorders>
              <w:top w:val="nil"/>
              <w:left w:val="nil"/>
              <w:bottom w:val="nil"/>
              <w:right w:val="nil"/>
            </w:tcBorders>
            <w:shd w:val="clear" w:color="auto" w:fill="auto"/>
            <w:noWrap/>
            <w:vAlign w:val="center"/>
            <w:hideMark/>
          </w:tcPr>
          <w:p w14:paraId="1DB1C44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572</w:t>
            </w:r>
          </w:p>
        </w:tc>
        <w:tc>
          <w:tcPr>
            <w:tcW w:w="560" w:type="dxa"/>
            <w:tcBorders>
              <w:top w:val="nil"/>
              <w:left w:val="nil"/>
              <w:bottom w:val="nil"/>
              <w:right w:val="single" w:sz="8" w:space="0" w:color="auto"/>
            </w:tcBorders>
            <w:shd w:val="clear" w:color="auto" w:fill="auto"/>
            <w:noWrap/>
            <w:vAlign w:val="center"/>
            <w:hideMark/>
          </w:tcPr>
          <w:p w14:paraId="47C49B8F"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193</w:t>
            </w:r>
          </w:p>
        </w:tc>
        <w:tc>
          <w:tcPr>
            <w:tcW w:w="779" w:type="dxa"/>
            <w:tcBorders>
              <w:top w:val="nil"/>
              <w:left w:val="nil"/>
              <w:bottom w:val="nil"/>
              <w:right w:val="nil"/>
            </w:tcBorders>
            <w:shd w:val="clear" w:color="auto" w:fill="auto"/>
            <w:noWrap/>
            <w:vAlign w:val="center"/>
            <w:hideMark/>
          </w:tcPr>
          <w:p w14:paraId="5C9091C4"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21,0%</w:t>
            </w:r>
          </w:p>
        </w:tc>
        <w:tc>
          <w:tcPr>
            <w:tcW w:w="1121" w:type="dxa"/>
            <w:tcBorders>
              <w:top w:val="nil"/>
              <w:left w:val="nil"/>
              <w:bottom w:val="nil"/>
              <w:right w:val="nil"/>
            </w:tcBorders>
            <w:shd w:val="clear" w:color="auto" w:fill="auto"/>
            <w:noWrap/>
            <w:vAlign w:val="center"/>
            <w:hideMark/>
          </w:tcPr>
          <w:p w14:paraId="3134FDB9"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19,2%</w:t>
            </w:r>
          </w:p>
        </w:tc>
        <w:tc>
          <w:tcPr>
            <w:tcW w:w="1124" w:type="dxa"/>
            <w:tcBorders>
              <w:top w:val="nil"/>
              <w:left w:val="nil"/>
              <w:bottom w:val="nil"/>
              <w:right w:val="single" w:sz="8" w:space="0" w:color="auto"/>
            </w:tcBorders>
            <w:shd w:val="clear" w:color="auto" w:fill="auto"/>
            <w:noWrap/>
            <w:vAlign w:val="center"/>
            <w:hideMark/>
          </w:tcPr>
          <w:p w14:paraId="58F65CC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5,8%</w:t>
            </w:r>
          </w:p>
        </w:tc>
        <w:tc>
          <w:tcPr>
            <w:tcW w:w="991" w:type="dxa"/>
            <w:tcBorders>
              <w:top w:val="nil"/>
              <w:left w:val="nil"/>
              <w:bottom w:val="nil"/>
              <w:right w:val="nil"/>
            </w:tcBorders>
            <w:shd w:val="clear" w:color="auto" w:fill="auto"/>
            <w:noWrap/>
            <w:vAlign w:val="center"/>
            <w:hideMark/>
          </w:tcPr>
          <w:p w14:paraId="7E52FFF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-66,2%</w:t>
            </w:r>
          </w:p>
        </w:tc>
        <w:tc>
          <w:tcPr>
            <w:tcW w:w="1221" w:type="dxa"/>
            <w:tcBorders>
              <w:top w:val="nil"/>
              <w:left w:val="nil"/>
              <w:bottom w:val="nil"/>
              <w:right w:val="single" w:sz="8" w:space="0" w:color="auto"/>
            </w:tcBorders>
            <w:shd w:val="clear" w:color="auto" w:fill="auto"/>
            <w:noWrap/>
            <w:vAlign w:val="center"/>
            <w:hideMark/>
          </w:tcPr>
          <w:p w14:paraId="513251E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69,5%</w:t>
            </w:r>
          </w:p>
        </w:tc>
      </w:tr>
      <w:tr w:rsidR="00F64097" w:rsidRPr="00F64097" w14:paraId="659879CB" w14:textId="77777777" w:rsidTr="001C643E">
        <w:trPr>
          <w:trHeight w:val="23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8F997A0"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Machines industrielles et agricoles, machines diverses</w:t>
            </w:r>
          </w:p>
        </w:tc>
        <w:tc>
          <w:tcPr>
            <w:tcW w:w="1015" w:type="dxa"/>
            <w:tcBorders>
              <w:top w:val="nil"/>
              <w:left w:val="nil"/>
              <w:bottom w:val="single" w:sz="8" w:space="0" w:color="auto"/>
              <w:right w:val="nil"/>
            </w:tcBorders>
            <w:shd w:val="clear" w:color="auto" w:fill="auto"/>
            <w:noWrap/>
            <w:vAlign w:val="center"/>
            <w:hideMark/>
          </w:tcPr>
          <w:p w14:paraId="2A3AA021" w14:textId="77777777" w:rsidR="00F64097" w:rsidRPr="00F64097" w:rsidRDefault="00F64097" w:rsidP="00F64097">
            <w:pPr>
              <w:spacing w:after="0" w:line="240" w:lineRule="auto"/>
              <w:jc w:val="center"/>
              <w:rPr>
                <w:rFonts w:eastAsia="Times New Roman" w:cs="Arial"/>
                <w:color w:val="000000"/>
                <w:sz w:val="18"/>
                <w:szCs w:val="18"/>
                <w:lang w:eastAsia="fr-FR"/>
              </w:rPr>
            </w:pPr>
          </w:p>
        </w:tc>
        <w:tc>
          <w:tcPr>
            <w:tcW w:w="560" w:type="dxa"/>
            <w:tcBorders>
              <w:top w:val="nil"/>
              <w:left w:val="nil"/>
              <w:bottom w:val="single" w:sz="8" w:space="0" w:color="auto"/>
              <w:right w:val="nil"/>
            </w:tcBorders>
            <w:shd w:val="clear" w:color="auto" w:fill="auto"/>
            <w:noWrap/>
            <w:vAlign w:val="center"/>
            <w:hideMark/>
          </w:tcPr>
          <w:p w14:paraId="261DE50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222</w:t>
            </w:r>
          </w:p>
        </w:tc>
        <w:tc>
          <w:tcPr>
            <w:tcW w:w="560" w:type="dxa"/>
            <w:tcBorders>
              <w:top w:val="nil"/>
              <w:left w:val="nil"/>
              <w:bottom w:val="single" w:sz="8" w:space="0" w:color="auto"/>
              <w:right w:val="single" w:sz="8" w:space="0" w:color="auto"/>
            </w:tcBorders>
            <w:shd w:val="clear" w:color="auto" w:fill="auto"/>
            <w:noWrap/>
            <w:vAlign w:val="center"/>
            <w:hideMark/>
          </w:tcPr>
          <w:p w14:paraId="63E76174"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1567</w:t>
            </w:r>
          </w:p>
        </w:tc>
        <w:tc>
          <w:tcPr>
            <w:tcW w:w="779" w:type="dxa"/>
            <w:tcBorders>
              <w:top w:val="nil"/>
              <w:left w:val="nil"/>
              <w:bottom w:val="single" w:sz="8" w:space="0" w:color="auto"/>
              <w:right w:val="nil"/>
            </w:tcBorders>
            <w:shd w:val="clear" w:color="auto" w:fill="auto"/>
            <w:noWrap/>
            <w:vAlign w:val="center"/>
            <w:hideMark/>
          </w:tcPr>
          <w:p w14:paraId="3E929647"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30,8%</w:t>
            </w:r>
          </w:p>
        </w:tc>
        <w:tc>
          <w:tcPr>
            <w:tcW w:w="1121" w:type="dxa"/>
            <w:tcBorders>
              <w:top w:val="nil"/>
              <w:left w:val="nil"/>
              <w:bottom w:val="single" w:sz="8" w:space="0" w:color="auto"/>
              <w:right w:val="nil"/>
            </w:tcBorders>
            <w:shd w:val="clear" w:color="auto" w:fill="auto"/>
            <w:noWrap/>
            <w:vAlign w:val="center"/>
            <w:hideMark/>
          </w:tcPr>
          <w:p w14:paraId="189BF44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7,4%</w:t>
            </w:r>
          </w:p>
        </w:tc>
        <w:tc>
          <w:tcPr>
            <w:tcW w:w="1124" w:type="dxa"/>
            <w:tcBorders>
              <w:top w:val="nil"/>
              <w:left w:val="nil"/>
              <w:bottom w:val="single" w:sz="8" w:space="0" w:color="auto"/>
              <w:right w:val="single" w:sz="8" w:space="0" w:color="auto"/>
            </w:tcBorders>
            <w:shd w:val="clear" w:color="auto" w:fill="auto"/>
            <w:noWrap/>
            <w:vAlign w:val="center"/>
            <w:hideMark/>
          </w:tcPr>
          <w:p w14:paraId="31F7943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47,2%</w:t>
            </w:r>
          </w:p>
        </w:tc>
        <w:tc>
          <w:tcPr>
            <w:tcW w:w="991" w:type="dxa"/>
            <w:tcBorders>
              <w:top w:val="nil"/>
              <w:left w:val="nil"/>
              <w:bottom w:val="single" w:sz="8" w:space="0" w:color="auto"/>
              <w:right w:val="nil"/>
            </w:tcBorders>
            <w:shd w:val="clear" w:color="auto" w:fill="auto"/>
            <w:noWrap/>
            <w:vAlign w:val="center"/>
            <w:hideMark/>
          </w:tcPr>
          <w:p w14:paraId="01FD2FCA"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605,9%</w:t>
            </w:r>
          </w:p>
        </w:tc>
        <w:tc>
          <w:tcPr>
            <w:tcW w:w="1221" w:type="dxa"/>
            <w:tcBorders>
              <w:top w:val="nil"/>
              <w:left w:val="nil"/>
              <w:bottom w:val="single" w:sz="8" w:space="0" w:color="auto"/>
              <w:right w:val="single" w:sz="8" w:space="0" w:color="auto"/>
            </w:tcBorders>
            <w:shd w:val="clear" w:color="auto" w:fill="auto"/>
            <w:noWrap/>
            <w:vAlign w:val="center"/>
            <w:hideMark/>
          </w:tcPr>
          <w:p w14:paraId="691F01E4"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-6,2%</w:t>
            </w:r>
          </w:p>
        </w:tc>
      </w:tr>
      <w:tr w:rsidR="00F64097" w:rsidRPr="00F64097" w14:paraId="368CD4E7" w14:textId="77777777" w:rsidTr="001C643E">
        <w:trPr>
          <w:trHeight w:val="219"/>
        </w:trPr>
        <w:tc>
          <w:tcPr>
            <w:tcW w:w="3392" w:type="dxa"/>
            <w:tcBorders>
              <w:top w:val="nil"/>
              <w:left w:val="single" w:sz="8" w:space="0" w:color="auto"/>
              <w:bottom w:val="nil"/>
              <w:right w:val="single" w:sz="8" w:space="0" w:color="auto"/>
            </w:tcBorders>
            <w:shd w:val="clear" w:color="auto" w:fill="auto"/>
            <w:noWrap/>
            <w:vAlign w:val="center"/>
            <w:hideMark/>
          </w:tcPr>
          <w:p w14:paraId="25855C28" w14:textId="77777777" w:rsidR="00F64097" w:rsidRPr="00F64097" w:rsidRDefault="00F64097" w:rsidP="00F64097">
            <w:pPr>
              <w:spacing w:after="0" w:line="240" w:lineRule="auto"/>
              <w:rPr>
                <w:rFonts w:eastAsia="Times New Roman" w:cs="Arial"/>
                <w:b/>
                <w:bCs/>
                <w:color w:val="000000"/>
                <w:sz w:val="18"/>
                <w:szCs w:val="18"/>
                <w:lang w:eastAsia="fr-FR"/>
              </w:rPr>
            </w:pPr>
            <w:r w:rsidRPr="00F64097">
              <w:rPr>
                <w:rFonts w:eastAsia="Times New Roman" w:cs="Arial"/>
                <w:b/>
                <w:bCs/>
                <w:color w:val="000000"/>
                <w:sz w:val="18"/>
                <w:szCs w:val="18"/>
                <w:lang w:eastAsia="fr-FR"/>
              </w:rPr>
              <w:t>Matériel de transport</w:t>
            </w:r>
          </w:p>
        </w:tc>
        <w:tc>
          <w:tcPr>
            <w:tcW w:w="1015" w:type="dxa"/>
            <w:tcBorders>
              <w:top w:val="nil"/>
              <w:left w:val="nil"/>
              <w:bottom w:val="nil"/>
              <w:right w:val="nil"/>
            </w:tcBorders>
            <w:shd w:val="clear" w:color="auto" w:fill="auto"/>
            <w:noWrap/>
            <w:vAlign w:val="center"/>
            <w:hideMark/>
          </w:tcPr>
          <w:p w14:paraId="082D243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974</w:t>
            </w:r>
          </w:p>
        </w:tc>
        <w:tc>
          <w:tcPr>
            <w:tcW w:w="560" w:type="dxa"/>
            <w:tcBorders>
              <w:top w:val="nil"/>
              <w:left w:val="nil"/>
              <w:bottom w:val="nil"/>
              <w:right w:val="nil"/>
            </w:tcBorders>
            <w:shd w:val="clear" w:color="auto" w:fill="auto"/>
            <w:vAlign w:val="center"/>
            <w:hideMark/>
          </w:tcPr>
          <w:p w14:paraId="46D399AA"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380</w:t>
            </w:r>
          </w:p>
        </w:tc>
        <w:tc>
          <w:tcPr>
            <w:tcW w:w="560" w:type="dxa"/>
            <w:tcBorders>
              <w:top w:val="nil"/>
              <w:left w:val="nil"/>
              <w:bottom w:val="nil"/>
              <w:right w:val="single" w:sz="8" w:space="0" w:color="auto"/>
            </w:tcBorders>
            <w:shd w:val="clear" w:color="auto" w:fill="auto"/>
            <w:vAlign w:val="center"/>
            <w:hideMark/>
          </w:tcPr>
          <w:p w14:paraId="3EBAEB5F"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w:t>
            </w:r>
          </w:p>
        </w:tc>
        <w:tc>
          <w:tcPr>
            <w:tcW w:w="779" w:type="dxa"/>
            <w:tcBorders>
              <w:top w:val="nil"/>
              <w:left w:val="nil"/>
              <w:bottom w:val="nil"/>
              <w:right w:val="nil"/>
            </w:tcBorders>
            <w:shd w:val="clear" w:color="auto" w:fill="auto"/>
            <w:noWrap/>
            <w:vAlign w:val="center"/>
            <w:hideMark/>
          </w:tcPr>
          <w:p w14:paraId="23E46279"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18,0%</w:t>
            </w:r>
          </w:p>
        </w:tc>
        <w:tc>
          <w:tcPr>
            <w:tcW w:w="1121" w:type="dxa"/>
            <w:tcBorders>
              <w:top w:val="nil"/>
              <w:left w:val="nil"/>
              <w:bottom w:val="nil"/>
              <w:right w:val="nil"/>
            </w:tcBorders>
            <w:shd w:val="clear" w:color="auto" w:fill="auto"/>
            <w:noWrap/>
            <w:vAlign w:val="center"/>
            <w:hideMark/>
          </w:tcPr>
          <w:p w14:paraId="0BA26FF6"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12,7%</w:t>
            </w:r>
          </w:p>
        </w:tc>
        <w:tc>
          <w:tcPr>
            <w:tcW w:w="1124" w:type="dxa"/>
            <w:tcBorders>
              <w:top w:val="nil"/>
              <w:left w:val="nil"/>
              <w:bottom w:val="nil"/>
              <w:right w:val="single" w:sz="8" w:space="0" w:color="auto"/>
            </w:tcBorders>
            <w:shd w:val="clear" w:color="auto" w:fill="auto"/>
            <w:vAlign w:val="center"/>
            <w:hideMark/>
          </w:tcPr>
          <w:p w14:paraId="71ADE617"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0,1%</w:t>
            </w:r>
          </w:p>
        </w:tc>
        <w:tc>
          <w:tcPr>
            <w:tcW w:w="991" w:type="dxa"/>
            <w:tcBorders>
              <w:top w:val="nil"/>
              <w:left w:val="nil"/>
              <w:bottom w:val="nil"/>
              <w:right w:val="nil"/>
            </w:tcBorders>
            <w:shd w:val="clear" w:color="auto" w:fill="auto"/>
            <w:noWrap/>
            <w:vAlign w:val="center"/>
            <w:hideMark/>
          </w:tcPr>
          <w:p w14:paraId="3760E34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-99,5%</w:t>
            </w:r>
          </w:p>
        </w:tc>
        <w:tc>
          <w:tcPr>
            <w:tcW w:w="1221" w:type="dxa"/>
            <w:tcBorders>
              <w:top w:val="nil"/>
              <w:left w:val="nil"/>
              <w:bottom w:val="nil"/>
              <w:right w:val="single" w:sz="8" w:space="0" w:color="auto"/>
            </w:tcBorders>
            <w:shd w:val="clear" w:color="auto" w:fill="auto"/>
            <w:vAlign w:val="center"/>
            <w:hideMark/>
          </w:tcPr>
          <w:p w14:paraId="1AFB5231"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-99,8%</w:t>
            </w:r>
          </w:p>
        </w:tc>
      </w:tr>
      <w:tr w:rsidR="00F64097" w:rsidRPr="00F64097" w14:paraId="4D7B6FFD" w14:textId="77777777" w:rsidTr="001C643E">
        <w:trPr>
          <w:trHeight w:val="23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3D0771C"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Véhicules automobiles</w:t>
            </w:r>
          </w:p>
        </w:tc>
        <w:tc>
          <w:tcPr>
            <w:tcW w:w="1015" w:type="dxa"/>
            <w:tcBorders>
              <w:top w:val="nil"/>
              <w:left w:val="nil"/>
              <w:bottom w:val="single" w:sz="8" w:space="0" w:color="auto"/>
              <w:right w:val="nil"/>
            </w:tcBorders>
            <w:shd w:val="clear" w:color="auto" w:fill="auto"/>
            <w:noWrap/>
            <w:vAlign w:val="center"/>
            <w:hideMark/>
          </w:tcPr>
          <w:p w14:paraId="7F765B2A"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971,4</w:t>
            </w:r>
          </w:p>
        </w:tc>
        <w:tc>
          <w:tcPr>
            <w:tcW w:w="560" w:type="dxa"/>
            <w:tcBorders>
              <w:top w:val="nil"/>
              <w:left w:val="nil"/>
              <w:bottom w:val="single" w:sz="8" w:space="0" w:color="auto"/>
              <w:right w:val="nil"/>
            </w:tcBorders>
            <w:shd w:val="clear" w:color="auto" w:fill="auto"/>
            <w:noWrap/>
            <w:vAlign w:val="center"/>
            <w:hideMark/>
          </w:tcPr>
          <w:p w14:paraId="7A944CF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360</w:t>
            </w:r>
          </w:p>
        </w:tc>
        <w:tc>
          <w:tcPr>
            <w:tcW w:w="560" w:type="dxa"/>
            <w:tcBorders>
              <w:top w:val="nil"/>
              <w:left w:val="nil"/>
              <w:bottom w:val="single" w:sz="8" w:space="0" w:color="auto"/>
              <w:right w:val="single" w:sz="8" w:space="0" w:color="auto"/>
            </w:tcBorders>
            <w:shd w:val="clear" w:color="auto" w:fill="auto"/>
            <w:noWrap/>
            <w:vAlign w:val="center"/>
            <w:hideMark/>
          </w:tcPr>
          <w:p w14:paraId="2659C9E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0</w:t>
            </w:r>
          </w:p>
        </w:tc>
        <w:tc>
          <w:tcPr>
            <w:tcW w:w="779" w:type="dxa"/>
            <w:tcBorders>
              <w:top w:val="nil"/>
              <w:left w:val="nil"/>
              <w:bottom w:val="single" w:sz="8" w:space="0" w:color="auto"/>
              <w:right w:val="nil"/>
            </w:tcBorders>
            <w:shd w:val="clear" w:color="auto" w:fill="auto"/>
            <w:noWrap/>
            <w:vAlign w:val="center"/>
            <w:hideMark/>
          </w:tcPr>
          <w:p w14:paraId="5DA31D26"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17,9%</w:t>
            </w:r>
          </w:p>
        </w:tc>
        <w:tc>
          <w:tcPr>
            <w:tcW w:w="1121" w:type="dxa"/>
            <w:tcBorders>
              <w:top w:val="nil"/>
              <w:left w:val="nil"/>
              <w:bottom w:val="single" w:sz="8" w:space="0" w:color="auto"/>
              <w:right w:val="nil"/>
            </w:tcBorders>
            <w:shd w:val="clear" w:color="auto" w:fill="auto"/>
            <w:noWrap/>
            <w:vAlign w:val="center"/>
            <w:hideMark/>
          </w:tcPr>
          <w:p w14:paraId="55A2152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12,1%</w:t>
            </w:r>
          </w:p>
        </w:tc>
        <w:tc>
          <w:tcPr>
            <w:tcW w:w="1124" w:type="dxa"/>
            <w:tcBorders>
              <w:top w:val="nil"/>
              <w:left w:val="nil"/>
              <w:bottom w:val="single" w:sz="8" w:space="0" w:color="auto"/>
              <w:right w:val="single" w:sz="8" w:space="0" w:color="auto"/>
            </w:tcBorders>
            <w:shd w:val="clear" w:color="auto" w:fill="auto"/>
            <w:noWrap/>
            <w:vAlign w:val="center"/>
            <w:hideMark/>
          </w:tcPr>
          <w:p w14:paraId="4612EEB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0,0%</w:t>
            </w:r>
          </w:p>
        </w:tc>
        <w:tc>
          <w:tcPr>
            <w:tcW w:w="991" w:type="dxa"/>
            <w:tcBorders>
              <w:top w:val="nil"/>
              <w:left w:val="nil"/>
              <w:bottom w:val="single" w:sz="8" w:space="0" w:color="auto"/>
              <w:right w:val="nil"/>
            </w:tcBorders>
            <w:shd w:val="clear" w:color="auto" w:fill="auto"/>
            <w:noWrap/>
            <w:vAlign w:val="center"/>
            <w:hideMark/>
          </w:tcPr>
          <w:p w14:paraId="5F5C78A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-100,0%</w:t>
            </w:r>
          </w:p>
        </w:tc>
        <w:tc>
          <w:tcPr>
            <w:tcW w:w="1221" w:type="dxa"/>
            <w:tcBorders>
              <w:top w:val="nil"/>
              <w:left w:val="nil"/>
              <w:bottom w:val="single" w:sz="8" w:space="0" w:color="auto"/>
              <w:right w:val="single" w:sz="8" w:space="0" w:color="auto"/>
            </w:tcBorders>
            <w:shd w:val="clear" w:color="auto" w:fill="auto"/>
            <w:noWrap/>
            <w:vAlign w:val="center"/>
            <w:hideMark/>
          </w:tcPr>
          <w:p w14:paraId="798DBC3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-100,0%</w:t>
            </w:r>
          </w:p>
        </w:tc>
      </w:tr>
      <w:tr w:rsidR="00F64097" w:rsidRPr="00F64097" w14:paraId="05DB83E8" w14:textId="77777777" w:rsidTr="001C643E">
        <w:trPr>
          <w:trHeight w:val="352"/>
        </w:trPr>
        <w:tc>
          <w:tcPr>
            <w:tcW w:w="3392" w:type="dxa"/>
            <w:tcBorders>
              <w:top w:val="nil"/>
              <w:left w:val="single" w:sz="8" w:space="0" w:color="auto"/>
              <w:bottom w:val="nil"/>
              <w:right w:val="single" w:sz="8" w:space="0" w:color="auto"/>
            </w:tcBorders>
            <w:shd w:val="clear" w:color="auto" w:fill="auto"/>
            <w:vAlign w:val="center"/>
            <w:hideMark/>
          </w:tcPr>
          <w:p w14:paraId="13841242" w14:textId="77777777" w:rsidR="00F64097" w:rsidRPr="00F64097" w:rsidRDefault="00F64097" w:rsidP="00F64097">
            <w:pPr>
              <w:spacing w:after="0" w:line="240" w:lineRule="auto"/>
              <w:rPr>
                <w:rFonts w:eastAsia="Times New Roman" w:cs="Arial"/>
                <w:b/>
                <w:bCs/>
                <w:color w:val="000000"/>
                <w:sz w:val="18"/>
                <w:szCs w:val="18"/>
                <w:lang w:eastAsia="fr-FR"/>
              </w:rPr>
            </w:pPr>
            <w:r w:rsidRPr="00F64097">
              <w:rPr>
                <w:rFonts w:eastAsia="Times New Roman" w:cs="Arial"/>
                <w:b/>
                <w:bCs/>
                <w:color w:val="000000"/>
                <w:sz w:val="18"/>
                <w:szCs w:val="18"/>
                <w:lang w:eastAsia="fr-FR"/>
              </w:rPr>
              <w:t>Produits métallurgiques et métalliques</w:t>
            </w:r>
          </w:p>
        </w:tc>
        <w:tc>
          <w:tcPr>
            <w:tcW w:w="1015" w:type="dxa"/>
            <w:tcBorders>
              <w:top w:val="nil"/>
              <w:left w:val="nil"/>
              <w:bottom w:val="nil"/>
              <w:right w:val="nil"/>
            </w:tcBorders>
            <w:shd w:val="clear" w:color="auto" w:fill="auto"/>
            <w:noWrap/>
            <w:vAlign w:val="center"/>
            <w:hideMark/>
          </w:tcPr>
          <w:p w14:paraId="4CBD1D2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525</w:t>
            </w:r>
          </w:p>
        </w:tc>
        <w:tc>
          <w:tcPr>
            <w:tcW w:w="560" w:type="dxa"/>
            <w:tcBorders>
              <w:top w:val="nil"/>
              <w:left w:val="nil"/>
              <w:bottom w:val="nil"/>
              <w:right w:val="nil"/>
            </w:tcBorders>
            <w:shd w:val="clear" w:color="auto" w:fill="auto"/>
            <w:noWrap/>
            <w:vAlign w:val="center"/>
            <w:hideMark/>
          </w:tcPr>
          <w:p w14:paraId="0E155830"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654</w:t>
            </w:r>
          </w:p>
        </w:tc>
        <w:tc>
          <w:tcPr>
            <w:tcW w:w="560" w:type="dxa"/>
            <w:tcBorders>
              <w:top w:val="nil"/>
              <w:left w:val="nil"/>
              <w:bottom w:val="nil"/>
              <w:right w:val="single" w:sz="8" w:space="0" w:color="auto"/>
            </w:tcBorders>
            <w:shd w:val="clear" w:color="auto" w:fill="auto"/>
            <w:noWrap/>
            <w:vAlign w:val="center"/>
            <w:hideMark/>
          </w:tcPr>
          <w:p w14:paraId="63E4E12F"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551</w:t>
            </w:r>
          </w:p>
        </w:tc>
        <w:tc>
          <w:tcPr>
            <w:tcW w:w="779" w:type="dxa"/>
            <w:tcBorders>
              <w:top w:val="nil"/>
              <w:left w:val="nil"/>
              <w:bottom w:val="nil"/>
              <w:right w:val="nil"/>
            </w:tcBorders>
            <w:shd w:val="clear" w:color="auto" w:fill="auto"/>
            <w:noWrap/>
            <w:vAlign w:val="center"/>
            <w:hideMark/>
          </w:tcPr>
          <w:p w14:paraId="5E9FA74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9,7%</w:t>
            </w:r>
          </w:p>
        </w:tc>
        <w:tc>
          <w:tcPr>
            <w:tcW w:w="1121" w:type="dxa"/>
            <w:tcBorders>
              <w:top w:val="nil"/>
              <w:left w:val="nil"/>
              <w:bottom w:val="nil"/>
              <w:right w:val="nil"/>
            </w:tcBorders>
            <w:shd w:val="clear" w:color="auto" w:fill="auto"/>
            <w:noWrap/>
            <w:vAlign w:val="center"/>
            <w:hideMark/>
          </w:tcPr>
          <w:p w14:paraId="2DE2565F"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21,9%</w:t>
            </w:r>
          </w:p>
        </w:tc>
        <w:tc>
          <w:tcPr>
            <w:tcW w:w="1124" w:type="dxa"/>
            <w:tcBorders>
              <w:top w:val="nil"/>
              <w:left w:val="nil"/>
              <w:bottom w:val="nil"/>
              <w:right w:val="single" w:sz="8" w:space="0" w:color="auto"/>
            </w:tcBorders>
            <w:shd w:val="clear" w:color="auto" w:fill="auto"/>
            <w:noWrap/>
            <w:vAlign w:val="center"/>
            <w:hideMark/>
          </w:tcPr>
          <w:p w14:paraId="5F1837BA"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16,6%</w:t>
            </w:r>
          </w:p>
        </w:tc>
        <w:tc>
          <w:tcPr>
            <w:tcW w:w="991" w:type="dxa"/>
            <w:tcBorders>
              <w:top w:val="nil"/>
              <w:left w:val="nil"/>
              <w:bottom w:val="nil"/>
              <w:right w:val="nil"/>
            </w:tcBorders>
            <w:shd w:val="clear" w:color="auto" w:fill="auto"/>
            <w:noWrap/>
            <w:vAlign w:val="center"/>
            <w:hideMark/>
          </w:tcPr>
          <w:p w14:paraId="3F1EC3C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-15,8%</w:t>
            </w:r>
          </w:p>
        </w:tc>
        <w:tc>
          <w:tcPr>
            <w:tcW w:w="1221" w:type="dxa"/>
            <w:tcBorders>
              <w:top w:val="nil"/>
              <w:left w:val="nil"/>
              <w:bottom w:val="nil"/>
              <w:right w:val="single" w:sz="8" w:space="0" w:color="auto"/>
            </w:tcBorders>
            <w:shd w:val="clear" w:color="auto" w:fill="auto"/>
            <w:noWrap/>
            <w:vAlign w:val="center"/>
            <w:hideMark/>
          </w:tcPr>
          <w:p w14:paraId="1A49374F"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4,9%</w:t>
            </w:r>
          </w:p>
        </w:tc>
      </w:tr>
      <w:tr w:rsidR="00F64097" w:rsidRPr="00F64097" w14:paraId="417A787E" w14:textId="77777777" w:rsidTr="001C643E">
        <w:trPr>
          <w:trHeight w:val="219"/>
        </w:trPr>
        <w:tc>
          <w:tcPr>
            <w:tcW w:w="3392" w:type="dxa"/>
            <w:tcBorders>
              <w:top w:val="nil"/>
              <w:left w:val="single" w:sz="8" w:space="0" w:color="auto"/>
              <w:bottom w:val="nil"/>
              <w:right w:val="single" w:sz="8" w:space="0" w:color="auto"/>
            </w:tcBorders>
            <w:shd w:val="clear" w:color="auto" w:fill="auto"/>
            <w:noWrap/>
            <w:vAlign w:val="center"/>
            <w:hideMark/>
          </w:tcPr>
          <w:p w14:paraId="51600338"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Barres étirées à froid</w:t>
            </w:r>
          </w:p>
        </w:tc>
        <w:tc>
          <w:tcPr>
            <w:tcW w:w="1015" w:type="dxa"/>
            <w:tcBorders>
              <w:top w:val="nil"/>
              <w:left w:val="nil"/>
              <w:bottom w:val="nil"/>
              <w:right w:val="nil"/>
            </w:tcBorders>
            <w:shd w:val="clear" w:color="auto" w:fill="auto"/>
            <w:noWrap/>
            <w:vAlign w:val="center"/>
            <w:hideMark/>
          </w:tcPr>
          <w:p w14:paraId="6B684E10"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19,88</w:t>
            </w:r>
          </w:p>
        </w:tc>
        <w:tc>
          <w:tcPr>
            <w:tcW w:w="560" w:type="dxa"/>
            <w:tcBorders>
              <w:top w:val="nil"/>
              <w:left w:val="nil"/>
              <w:bottom w:val="nil"/>
              <w:right w:val="nil"/>
            </w:tcBorders>
            <w:shd w:val="clear" w:color="auto" w:fill="auto"/>
            <w:noWrap/>
            <w:vAlign w:val="center"/>
            <w:hideMark/>
          </w:tcPr>
          <w:p w14:paraId="1B87AA09"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329</w:t>
            </w:r>
          </w:p>
        </w:tc>
        <w:tc>
          <w:tcPr>
            <w:tcW w:w="560" w:type="dxa"/>
            <w:tcBorders>
              <w:top w:val="nil"/>
              <w:left w:val="nil"/>
              <w:bottom w:val="nil"/>
              <w:right w:val="single" w:sz="8" w:space="0" w:color="auto"/>
            </w:tcBorders>
            <w:shd w:val="clear" w:color="auto" w:fill="auto"/>
            <w:noWrap/>
            <w:vAlign w:val="center"/>
            <w:hideMark/>
          </w:tcPr>
          <w:p w14:paraId="3E92D63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419</w:t>
            </w:r>
          </w:p>
        </w:tc>
        <w:tc>
          <w:tcPr>
            <w:tcW w:w="779" w:type="dxa"/>
            <w:tcBorders>
              <w:top w:val="nil"/>
              <w:left w:val="nil"/>
              <w:bottom w:val="nil"/>
              <w:right w:val="nil"/>
            </w:tcBorders>
            <w:shd w:val="clear" w:color="auto" w:fill="auto"/>
            <w:noWrap/>
            <w:vAlign w:val="center"/>
            <w:hideMark/>
          </w:tcPr>
          <w:p w14:paraId="2231BA21"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0,4%</w:t>
            </w:r>
          </w:p>
        </w:tc>
        <w:tc>
          <w:tcPr>
            <w:tcW w:w="1121" w:type="dxa"/>
            <w:tcBorders>
              <w:top w:val="nil"/>
              <w:left w:val="nil"/>
              <w:bottom w:val="nil"/>
              <w:right w:val="nil"/>
            </w:tcBorders>
            <w:shd w:val="clear" w:color="auto" w:fill="auto"/>
            <w:noWrap/>
            <w:vAlign w:val="center"/>
            <w:hideMark/>
          </w:tcPr>
          <w:p w14:paraId="68BE40E7"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11,0%</w:t>
            </w:r>
          </w:p>
        </w:tc>
        <w:tc>
          <w:tcPr>
            <w:tcW w:w="1124" w:type="dxa"/>
            <w:tcBorders>
              <w:top w:val="nil"/>
              <w:left w:val="nil"/>
              <w:bottom w:val="nil"/>
              <w:right w:val="single" w:sz="8" w:space="0" w:color="auto"/>
            </w:tcBorders>
            <w:shd w:val="clear" w:color="auto" w:fill="auto"/>
            <w:noWrap/>
            <w:vAlign w:val="center"/>
            <w:hideMark/>
          </w:tcPr>
          <w:p w14:paraId="65CCD19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12,6%</w:t>
            </w:r>
          </w:p>
        </w:tc>
        <w:tc>
          <w:tcPr>
            <w:tcW w:w="991" w:type="dxa"/>
            <w:tcBorders>
              <w:top w:val="nil"/>
              <w:left w:val="nil"/>
              <w:bottom w:val="nil"/>
              <w:right w:val="nil"/>
            </w:tcBorders>
            <w:shd w:val="clear" w:color="auto" w:fill="auto"/>
            <w:noWrap/>
            <w:vAlign w:val="center"/>
            <w:hideMark/>
          </w:tcPr>
          <w:p w14:paraId="7D921287"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27,4%</w:t>
            </w:r>
          </w:p>
        </w:tc>
        <w:tc>
          <w:tcPr>
            <w:tcW w:w="1221" w:type="dxa"/>
            <w:tcBorders>
              <w:top w:val="nil"/>
              <w:left w:val="nil"/>
              <w:bottom w:val="nil"/>
              <w:right w:val="single" w:sz="8" w:space="0" w:color="auto"/>
            </w:tcBorders>
            <w:shd w:val="clear" w:color="auto" w:fill="auto"/>
            <w:noWrap/>
            <w:vAlign w:val="center"/>
            <w:hideMark/>
          </w:tcPr>
          <w:p w14:paraId="67DDC279"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2008,6%</w:t>
            </w:r>
          </w:p>
        </w:tc>
      </w:tr>
      <w:tr w:rsidR="00F64097" w:rsidRPr="00F64097" w14:paraId="415313EF" w14:textId="77777777" w:rsidTr="001C643E">
        <w:trPr>
          <w:trHeight w:val="363"/>
        </w:trPr>
        <w:tc>
          <w:tcPr>
            <w:tcW w:w="3392" w:type="dxa"/>
            <w:tcBorders>
              <w:top w:val="nil"/>
              <w:left w:val="single" w:sz="8" w:space="0" w:color="auto"/>
              <w:bottom w:val="single" w:sz="8" w:space="0" w:color="auto"/>
              <w:right w:val="single" w:sz="8" w:space="0" w:color="auto"/>
            </w:tcBorders>
            <w:shd w:val="clear" w:color="auto" w:fill="auto"/>
            <w:vAlign w:val="center"/>
            <w:hideMark/>
          </w:tcPr>
          <w:p w14:paraId="126D6021"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Produits sidérurgiques de base et ferroalliages</w:t>
            </w:r>
          </w:p>
        </w:tc>
        <w:tc>
          <w:tcPr>
            <w:tcW w:w="1015" w:type="dxa"/>
            <w:tcBorders>
              <w:top w:val="nil"/>
              <w:left w:val="nil"/>
              <w:bottom w:val="single" w:sz="8" w:space="0" w:color="auto"/>
              <w:right w:val="nil"/>
            </w:tcBorders>
            <w:shd w:val="clear" w:color="auto" w:fill="auto"/>
            <w:vAlign w:val="center"/>
            <w:hideMark/>
          </w:tcPr>
          <w:p w14:paraId="090D8A1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99,05</w:t>
            </w:r>
          </w:p>
        </w:tc>
        <w:tc>
          <w:tcPr>
            <w:tcW w:w="560" w:type="dxa"/>
            <w:tcBorders>
              <w:top w:val="nil"/>
              <w:left w:val="nil"/>
              <w:bottom w:val="single" w:sz="8" w:space="0" w:color="auto"/>
              <w:right w:val="nil"/>
            </w:tcBorders>
            <w:shd w:val="clear" w:color="auto" w:fill="auto"/>
            <w:noWrap/>
            <w:vAlign w:val="center"/>
            <w:hideMark/>
          </w:tcPr>
          <w:p w14:paraId="67782FE2"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304</w:t>
            </w:r>
          </w:p>
        </w:tc>
        <w:tc>
          <w:tcPr>
            <w:tcW w:w="560" w:type="dxa"/>
            <w:tcBorders>
              <w:top w:val="nil"/>
              <w:left w:val="nil"/>
              <w:bottom w:val="single" w:sz="8" w:space="0" w:color="auto"/>
              <w:right w:val="single" w:sz="8" w:space="0" w:color="auto"/>
            </w:tcBorders>
            <w:shd w:val="clear" w:color="auto" w:fill="auto"/>
            <w:noWrap/>
            <w:vAlign w:val="center"/>
            <w:hideMark/>
          </w:tcPr>
          <w:p w14:paraId="08D1D78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117</w:t>
            </w:r>
          </w:p>
        </w:tc>
        <w:tc>
          <w:tcPr>
            <w:tcW w:w="779" w:type="dxa"/>
            <w:tcBorders>
              <w:top w:val="nil"/>
              <w:left w:val="nil"/>
              <w:bottom w:val="single" w:sz="8" w:space="0" w:color="auto"/>
              <w:right w:val="nil"/>
            </w:tcBorders>
            <w:shd w:val="clear" w:color="auto" w:fill="auto"/>
            <w:noWrap/>
            <w:vAlign w:val="center"/>
            <w:hideMark/>
          </w:tcPr>
          <w:p w14:paraId="75463B7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1,8%</w:t>
            </w:r>
          </w:p>
        </w:tc>
        <w:tc>
          <w:tcPr>
            <w:tcW w:w="1121" w:type="dxa"/>
            <w:tcBorders>
              <w:top w:val="nil"/>
              <w:left w:val="nil"/>
              <w:bottom w:val="single" w:sz="8" w:space="0" w:color="auto"/>
              <w:right w:val="nil"/>
            </w:tcBorders>
            <w:shd w:val="clear" w:color="auto" w:fill="auto"/>
            <w:noWrap/>
            <w:vAlign w:val="center"/>
            <w:hideMark/>
          </w:tcPr>
          <w:p w14:paraId="22654EB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10,2%</w:t>
            </w:r>
          </w:p>
        </w:tc>
        <w:tc>
          <w:tcPr>
            <w:tcW w:w="1124" w:type="dxa"/>
            <w:tcBorders>
              <w:top w:val="nil"/>
              <w:left w:val="nil"/>
              <w:bottom w:val="single" w:sz="8" w:space="0" w:color="auto"/>
              <w:right w:val="single" w:sz="8" w:space="0" w:color="auto"/>
            </w:tcBorders>
            <w:shd w:val="clear" w:color="auto" w:fill="auto"/>
            <w:noWrap/>
            <w:vAlign w:val="center"/>
            <w:hideMark/>
          </w:tcPr>
          <w:p w14:paraId="238A1C7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3,5%</w:t>
            </w:r>
          </w:p>
        </w:tc>
        <w:tc>
          <w:tcPr>
            <w:tcW w:w="991" w:type="dxa"/>
            <w:tcBorders>
              <w:top w:val="nil"/>
              <w:left w:val="nil"/>
              <w:bottom w:val="single" w:sz="8" w:space="0" w:color="auto"/>
              <w:right w:val="nil"/>
            </w:tcBorders>
            <w:shd w:val="clear" w:color="auto" w:fill="auto"/>
            <w:noWrap/>
            <w:vAlign w:val="center"/>
            <w:hideMark/>
          </w:tcPr>
          <w:p w14:paraId="04722A51"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-61,6%</w:t>
            </w:r>
          </w:p>
        </w:tc>
        <w:tc>
          <w:tcPr>
            <w:tcW w:w="1221" w:type="dxa"/>
            <w:tcBorders>
              <w:top w:val="nil"/>
              <w:left w:val="nil"/>
              <w:bottom w:val="single" w:sz="8" w:space="0" w:color="auto"/>
              <w:right w:val="single" w:sz="8" w:space="0" w:color="auto"/>
            </w:tcBorders>
            <w:shd w:val="clear" w:color="auto" w:fill="auto"/>
            <w:noWrap/>
            <w:vAlign w:val="center"/>
            <w:hideMark/>
          </w:tcPr>
          <w:p w14:paraId="2ACE244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17,8%</w:t>
            </w:r>
          </w:p>
        </w:tc>
      </w:tr>
      <w:tr w:rsidR="00F64097" w:rsidRPr="00F64097" w14:paraId="12D02A45" w14:textId="77777777" w:rsidTr="001C643E">
        <w:trPr>
          <w:trHeight w:val="352"/>
        </w:trPr>
        <w:tc>
          <w:tcPr>
            <w:tcW w:w="3392" w:type="dxa"/>
            <w:tcBorders>
              <w:top w:val="nil"/>
              <w:left w:val="single" w:sz="8" w:space="0" w:color="auto"/>
              <w:bottom w:val="nil"/>
              <w:right w:val="single" w:sz="8" w:space="0" w:color="auto"/>
            </w:tcBorders>
            <w:shd w:val="clear" w:color="auto" w:fill="auto"/>
            <w:vAlign w:val="center"/>
            <w:hideMark/>
          </w:tcPr>
          <w:p w14:paraId="2B3084A1" w14:textId="77777777" w:rsidR="00F64097" w:rsidRPr="00F64097" w:rsidRDefault="00F64097" w:rsidP="00F64097">
            <w:pPr>
              <w:spacing w:after="0" w:line="240" w:lineRule="auto"/>
              <w:rPr>
                <w:rFonts w:eastAsia="Times New Roman" w:cs="Arial"/>
                <w:b/>
                <w:bCs/>
                <w:color w:val="000000"/>
                <w:sz w:val="18"/>
                <w:szCs w:val="18"/>
                <w:lang w:eastAsia="fr-FR"/>
              </w:rPr>
            </w:pPr>
            <w:r w:rsidRPr="00F64097">
              <w:rPr>
                <w:rFonts w:eastAsia="Times New Roman" w:cs="Arial"/>
                <w:b/>
                <w:bCs/>
                <w:color w:val="000000"/>
                <w:sz w:val="18"/>
                <w:szCs w:val="18"/>
                <w:lang w:eastAsia="fr-FR"/>
              </w:rPr>
              <w:t>Produits des industries agroalimentaires (IAA)</w:t>
            </w:r>
          </w:p>
        </w:tc>
        <w:tc>
          <w:tcPr>
            <w:tcW w:w="1015" w:type="dxa"/>
            <w:tcBorders>
              <w:top w:val="nil"/>
              <w:left w:val="nil"/>
              <w:bottom w:val="nil"/>
              <w:right w:val="nil"/>
            </w:tcBorders>
            <w:shd w:val="clear" w:color="auto" w:fill="auto"/>
            <w:noWrap/>
            <w:vAlign w:val="center"/>
            <w:hideMark/>
          </w:tcPr>
          <w:p w14:paraId="7F5CCEE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734</w:t>
            </w:r>
          </w:p>
        </w:tc>
        <w:tc>
          <w:tcPr>
            <w:tcW w:w="560" w:type="dxa"/>
            <w:tcBorders>
              <w:top w:val="nil"/>
              <w:left w:val="nil"/>
              <w:bottom w:val="nil"/>
              <w:right w:val="nil"/>
            </w:tcBorders>
            <w:shd w:val="clear" w:color="auto" w:fill="auto"/>
            <w:vAlign w:val="center"/>
            <w:hideMark/>
          </w:tcPr>
          <w:p w14:paraId="267B7460"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356</w:t>
            </w:r>
          </w:p>
        </w:tc>
        <w:tc>
          <w:tcPr>
            <w:tcW w:w="560" w:type="dxa"/>
            <w:tcBorders>
              <w:top w:val="nil"/>
              <w:left w:val="nil"/>
              <w:bottom w:val="nil"/>
              <w:right w:val="single" w:sz="8" w:space="0" w:color="auto"/>
            </w:tcBorders>
            <w:shd w:val="clear" w:color="auto" w:fill="auto"/>
            <w:vAlign w:val="center"/>
            <w:hideMark/>
          </w:tcPr>
          <w:p w14:paraId="692C60B6"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180</w:t>
            </w:r>
          </w:p>
        </w:tc>
        <w:tc>
          <w:tcPr>
            <w:tcW w:w="779" w:type="dxa"/>
            <w:tcBorders>
              <w:top w:val="nil"/>
              <w:left w:val="nil"/>
              <w:bottom w:val="nil"/>
              <w:right w:val="nil"/>
            </w:tcBorders>
            <w:shd w:val="clear" w:color="auto" w:fill="auto"/>
            <w:noWrap/>
            <w:vAlign w:val="center"/>
            <w:hideMark/>
          </w:tcPr>
          <w:p w14:paraId="66871E26"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13,5%</w:t>
            </w:r>
          </w:p>
        </w:tc>
        <w:tc>
          <w:tcPr>
            <w:tcW w:w="1121" w:type="dxa"/>
            <w:tcBorders>
              <w:top w:val="nil"/>
              <w:left w:val="nil"/>
              <w:bottom w:val="nil"/>
              <w:right w:val="nil"/>
            </w:tcBorders>
            <w:shd w:val="clear" w:color="auto" w:fill="auto"/>
            <w:noWrap/>
            <w:vAlign w:val="center"/>
            <w:hideMark/>
          </w:tcPr>
          <w:p w14:paraId="689C978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11,9%</w:t>
            </w:r>
          </w:p>
        </w:tc>
        <w:tc>
          <w:tcPr>
            <w:tcW w:w="1124" w:type="dxa"/>
            <w:tcBorders>
              <w:top w:val="nil"/>
              <w:left w:val="nil"/>
              <w:bottom w:val="nil"/>
              <w:right w:val="single" w:sz="8" w:space="0" w:color="auto"/>
            </w:tcBorders>
            <w:shd w:val="clear" w:color="auto" w:fill="auto"/>
            <w:vAlign w:val="center"/>
            <w:hideMark/>
          </w:tcPr>
          <w:p w14:paraId="5A6F172C"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5,4%</w:t>
            </w:r>
          </w:p>
        </w:tc>
        <w:tc>
          <w:tcPr>
            <w:tcW w:w="991" w:type="dxa"/>
            <w:tcBorders>
              <w:top w:val="nil"/>
              <w:left w:val="nil"/>
              <w:bottom w:val="nil"/>
              <w:right w:val="nil"/>
            </w:tcBorders>
            <w:shd w:val="clear" w:color="auto" w:fill="auto"/>
            <w:noWrap/>
            <w:vAlign w:val="center"/>
            <w:hideMark/>
          </w:tcPr>
          <w:p w14:paraId="72D8E519"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-49,4%</w:t>
            </w:r>
          </w:p>
        </w:tc>
        <w:tc>
          <w:tcPr>
            <w:tcW w:w="1221" w:type="dxa"/>
            <w:tcBorders>
              <w:top w:val="nil"/>
              <w:left w:val="nil"/>
              <w:bottom w:val="nil"/>
              <w:right w:val="single" w:sz="8" w:space="0" w:color="auto"/>
            </w:tcBorders>
            <w:shd w:val="clear" w:color="auto" w:fill="auto"/>
            <w:vAlign w:val="center"/>
            <w:hideMark/>
          </w:tcPr>
          <w:p w14:paraId="05D9E26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-75,5%</w:t>
            </w:r>
          </w:p>
        </w:tc>
      </w:tr>
      <w:tr w:rsidR="00F64097" w:rsidRPr="00F64097" w14:paraId="4422676D" w14:textId="77777777" w:rsidTr="001C643E">
        <w:trPr>
          <w:trHeight w:val="540"/>
        </w:trPr>
        <w:tc>
          <w:tcPr>
            <w:tcW w:w="3392" w:type="dxa"/>
            <w:tcBorders>
              <w:top w:val="nil"/>
              <w:left w:val="single" w:sz="8" w:space="0" w:color="auto"/>
              <w:bottom w:val="single" w:sz="8" w:space="0" w:color="auto"/>
              <w:right w:val="single" w:sz="8" w:space="0" w:color="auto"/>
            </w:tcBorders>
            <w:shd w:val="clear" w:color="auto" w:fill="auto"/>
            <w:vAlign w:val="center"/>
            <w:hideMark/>
          </w:tcPr>
          <w:p w14:paraId="56F25528" w14:textId="77777777" w:rsidR="00F64097" w:rsidRPr="00F64097" w:rsidRDefault="00F64097" w:rsidP="00F64097">
            <w:pPr>
              <w:spacing w:after="0" w:line="240" w:lineRule="auto"/>
              <w:rPr>
                <w:rFonts w:eastAsia="Times New Roman" w:cs="Arial"/>
                <w:i/>
                <w:iCs/>
                <w:color w:val="000000"/>
                <w:sz w:val="18"/>
                <w:szCs w:val="18"/>
                <w:lang w:eastAsia="fr-FR"/>
              </w:rPr>
            </w:pPr>
            <w:r w:rsidRPr="00F64097">
              <w:rPr>
                <w:rFonts w:eastAsia="Times New Roman" w:cs="Arial"/>
                <w:i/>
                <w:iCs/>
                <w:color w:val="000000"/>
                <w:sz w:val="18"/>
                <w:szCs w:val="18"/>
                <w:lang w:eastAsia="fr-FR"/>
              </w:rPr>
              <w:t>Autres préparations et conserves à base de fruits et légumes</w:t>
            </w:r>
          </w:p>
        </w:tc>
        <w:tc>
          <w:tcPr>
            <w:tcW w:w="1015" w:type="dxa"/>
            <w:tcBorders>
              <w:top w:val="nil"/>
              <w:left w:val="nil"/>
              <w:bottom w:val="single" w:sz="8" w:space="0" w:color="auto"/>
              <w:right w:val="nil"/>
            </w:tcBorders>
            <w:shd w:val="clear" w:color="auto" w:fill="auto"/>
            <w:vAlign w:val="center"/>
            <w:hideMark/>
          </w:tcPr>
          <w:p w14:paraId="29B9D34C"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622,8</w:t>
            </w:r>
          </w:p>
        </w:tc>
        <w:tc>
          <w:tcPr>
            <w:tcW w:w="560" w:type="dxa"/>
            <w:tcBorders>
              <w:top w:val="nil"/>
              <w:left w:val="nil"/>
              <w:bottom w:val="single" w:sz="8" w:space="0" w:color="auto"/>
              <w:right w:val="nil"/>
            </w:tcBorders>
            <w:shd w:val="clear" w:color="auto" w:fill="auto"/>
            <w:noWrap/>
            <w:vAlign w:val="center"/>
            <w:hideMark/>
          </w:tcPr>
          <w:p w14:paraId="58EBD670"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290</w:t>
            </w:r>
          </w:p>
        </w:tc>
        <w:tc>
          <w:tcPr>
            <w:tcW w:w="560" w:type="dxa"/>
            <w:tcBorders>
              <w:top w:val="nil"/>
              <w:left w:val="nil"/>
              <w:bottom w:val="single" w:sz="8" w:space="0" w:color="auto"/>
              <w:right w:val="single" w:sz="8" w:space="0" w:color="auto"/>
            </w:tcBorders>
            <w:shd w:val="clear" w:color="auto" w:fill="auto"/>
            <w:noWrap/>
            <w:vAlign w:val="center"/>
            <w:hideMark/>
          </w:tcPr>
          <w:p w14:paraId="6A8E59A1"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69</w:t>
            </w:r>
          </w:p>
        </w:tc>
        <w:tc>
          <w:tcPr>
            <w:tcW w:w="779" w:type="dxa"/>
            <w:tcBorders>
              <w:top w:val="nil"/>
              <w:left w:val="nil"/>
              <w:bottom w:val="single" w:sz="8" w:space="0" w:color="auto"/>
              <w:right w:val="nil"/>
            </w:tcBorders>
            <w:shd w:val="clear" w:color="auto" w:fill="auto"/>
            <w:noWrap/>
            <w:vAlign w:val="center"/>
            <w:hideMark/>
          </w:tcPr>
          <w:p w14:paraId="7211789C"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11,5%</w:t>
            </w:r>
          </w:p>
        </w:tc>
        <w:tc>
          <w:tcPr>
            <w:tcW w:w="1121" w:type="dxa"/>
            <w:tcBorders>
              <w:top w:val="nil"/>
              <w:left w:val="nil"/>
              <w:bottom w:val="single" w:sz="8" w:space="0" w:color="auto"/>
              <w:right w:val="nil"/>
            </w:tcBorders>
            <w:shd w:val="clear" w:color="auto" w:fill="auto"/>
            <w:noWrap/>
            <w:vAlign w:val="center"/>
            <w:hideMark/>
          </w:tcPr>
          <w:p w14:paraId="234CF3EE"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9,7%</w:t>
            </w:r>
          </w:p>
        </w:tc>
        <w:tc>
          <w:tcPr>
            <w:tcW w:w="1124" w:type="dxa"/>
            <w:tcBorders>
              <w:top w:val="nil"/>
              <w:left w:val="nil"/>
              <w:bottom w:val="single" w:sz="8" w:space="0" w:color="auto"/>
              <w:right w:val="single" w:sz="8" w:space="0" w:color="auto"/>
            </w:tcBorders>
            <w:shd w:val="clear" w:color="auto" w:fill="auto"/>
            <w:noWrap/>
            <w:vAlign w:val="center"/>
            <w:hideMark/>
          </w:tcPr>
          <w:p w14:paraId="5A36C3A8"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2,1%</w:t>
            </w:r>
          </w:p>
        </w:tc>
        <w:tc>
          <w:tcPr>
            <w:tcW w:w="991" w:type="dxa"/>
            <w:tcBorders>
              <w:top w:val="nil"/>
              <w:left w:val="nil"/>
              <w:bottom w:val="single" w:sz="8" w:space="0" w:color="auto"/>
              <w:right w:val="nil"/>
            </w:tcBorders>
            <w:shd w:val="clear" w:color="auto" w:fill="auto"/>
            <w:noWrap/>
            <w:vAlign w:val="center"/>
            <w:hideMark/>
          </w:tcPr>
          <w:p w14:paraId="01FCE7D7"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-76,2%</w:t>
            </w:r>
          </w:p>
        </w:tc>
        <w:tc>
          <w:tcPr>
            <w:tcW w:w="1221" w:type="dxa"/>
            <w:tcBorders>
              <w:top w:val="nil"/>
              <w:left w:val="nil"/>
              <w:bottom w:val="single" w:sz="8" w:space="0" w:color="auto"/>
              <w:right w:val="single" w:sz="8" w:space="0" w:color="auto"/>
            </w:tcBorders>
            <w:shd w:val="clear" w:color="auto" w:fill="auto"/>
            <w:noWrap/>
            <w:vAlign w:val="center"/>
            <w:hideMark/>
          </w:tcPr>
          <w:p w14:paraId="5E56D47B"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-88,9%</w:t>
            </w:r>
          </w:p>
        </w:tc>
      </w:tr>
      <w:tr w:rsidR="00F64097" w:rsidRPr="00F64097" w14:paraId="5B8F93E1" w14:textId="77777777" w:rsidTr="001C643E">
        <w:trPr>
          <w:trHeight w:val="23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6E68AEC" w14:textId="77777777" w:rsidR="00F64097" w:rsidRPr="00F64097" w:rsidRDefault="00F64097" w:rsidP="00F64097">
            <w:pPr>
              <w:spacing w:after="0" w:line="240" w:lineRule="auto"/>
              <w:rPr>
                <w:rFonts w:eastAsia="Times New Roman" w:cs="Arial"/>
                <w:b/>
                <w:bCs/>
                <w:color w:val="000000"/>
                <w:sz w:val="18"/>
                <w:szCs w:val="18"/>
                <w:lang w:eastAsia="fr-FR"/>
              </w:rPr>
            </w:pPr>
            <w:r w:rsidRPr="00F64097">
              <w:rPr>
                <w:rFonts w:eastAsia="Times New Roman" w:cs="Arial"/>
                <w:b/>
                <w:bCs/>
                <w:color w:val="000000"/>
                <w:sz w:val="18"/>
                <w:szCs w:val="18"/>
                <w:lang w:eastAsia="fr-FR"/>
              </w:rPr>
              <w:t>Total</w:t>
            </w:r>
          </w:p>
        </w:tc>
        <w:tc>
          <w:tcPr>
            <w:tcW w:w="1015" w:type="dxa"/>
            <w:tcBorders>
              <w:top w:val="nil"/>
              <w:left w:val="nil"/>
              <w:bottom w:val="single" w:sz="8" w:space="0" w:color="auto"/>
              <w:right w:val="nil"/>
            </w:tcBorders>
            <w:shd w:val="clear" w:color="auto" w:fill="auto"/>
            <w:noWrap/>
            <w:vAlign w:val="center"/>
            <w:hideMark/>
          </w:tcPr>
          <w:p w14:paraId="056C8722"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5424</w:t>
            </w:r>
          </w:p>
        </w:tc>
        <w:tc>
          <w:tcPr>
            <w:tcW w:w="560" w:type="dxa"/>
            <w:tcBorders>
              <w:top w:val="nil"/>
              <w:left w:val="nil"/>
              <w:bottom w:val="single" w:sz="8" w:space="0" w:color="auto"/>
              <w:right w:val="nil"/>
            </w:tcBorders>
            <w:shd w:val="clear" w:color="auto" w:fill="auto"/>
            <w:vAlign w:val="center"/>
            <w:hideMark/>
          </w:tcPr>
          <w:p w14:paraId="2F88DF8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2983</w:t>
            </w:r>
          </w:p>
        </w:tc>
        <w:tc>
          <w:tcPr>
            <w:tcW w:w="560" w:type="dxa"/>
            <w:tcBorders>
              <w:top w:val="nil"/>
              <w:left w:val="nil"/>
              <w:bottom w:val="single" w:sz="8" w:space="0" w:color="auto"/>
              <w:right w:val="single" w:sz="8" w:space="0" w:color="auto"/>
            </w:tcBorders>
            <w:shd w:val="clear" w:color="auto" w:fill="auto"/>
            <w:vAlign w:val="center"/>
            <w:hideMark/>
          </w:tcPr>
          <w:p w14:paraId="30F3C5B0"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3323</w:t>
            </w:r>
          </w:p>
        </w:tc>
        <w:tc>
          <w:tcPr>
            <w:tcW w:w="779" w:type="dxa"/>
            <w:tcBorders>
              <w:top w:val="nil"/>
              <w:left w:val="nil"/>
              <w:bottom w:val="single" w:sz="8" w:space="0" w:color="auto"/>
              <w:right w:val="nil"/>
            </w:tcBorders>
            <w:shd w:val="clear" w:color="auto" w:fill="auto"/>
            <w:noWrap/>
            <w:vAlign w:val="center"/>
            <w:hideMark/>
          </w:tcPr>
          <w:p w14:paraId="12F3B8A6"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100,0%</w:t>
            </w:r>
          </w:p>
        </w:tc>
        <w:tc>
          <w:tcPr>
            <w:tcW w:w="1121" w:type="dxa"/>
            <w:tcBorders>
              <w:top w:val="nil"/>
              <w:left w:val="nil"/>
              <w:bottom w:val="single" w:sz="8" w:space="0" w:color="auto"/>
              <w:right w:val="nil"/>
            </w:tcBorders>
            <w:shd w:val="clear" w:color="auto" w:fill="auto"/>
            <w:noWrap/>
            <w:vAlign w:val="center"/>
            <w:hideMark/>
          </w:tcPr>
          <w:p w14:paraId="2AFF6543"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100,0%</w:t>
            </w:r>
          </w:p>
        </w:tc>
        <w:tc>
          <w:tcPr>
            <w:tcW w:w="1124" w:type="dxa"/>
            <w:tcBorders>
              <w:top w:val="nil"/>
              <w:left w:val="nil"/>
              <w:bottom w:val="single" w:sz="8" w:space="0" w:color="auto"/>
              <w:right w:val="single" w:sz="8" w:space="0" w:color="auto"/>
            </w:tcBorders>
            <w:shd w:val="clear" w:color="auto" w:fill="auto"/>
            <w:vAlign w:val="center"/>
            <w:hideMark/>
          </w:tcPr>
          <w:p w14:paraId="22DC9495"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100,0%</w:t>
            </w:r>
          </w:p>
        </w:tc>
        <w:tc>
          <w:tcPr>
            <w:tcW w:w="991" w:type="dxa"/>
            <w:tcBorders>
              <w:top w:val="nil"/>
              <w:left w:val="nil"/>
              <w:bottom w:val="single" w:sz="8" w:space="0" w:color="auto"/>
              <w:right w:val="nil"/>
            </w:tcBorders>
            <w:shd w:val="clear" w:color="000000" w:fill="000000"/>
            <w:noWrap/>
            <w:vAlign w:val="center"/>
            <w:hideMark/>
          </w:tcPr>
          <w:p w14:paraId="033CD86C"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 </w:t>
            </w:r>
          </w:p>
        </w:tc>
        <w:tc>
          <w:tcPr>
            <w:tcW w:w="1221" w:type="dxa"/>
            <w:tcBorders>
              <w:top w:val="nil"/>
              <w:left w:val="nil"/>
              <w:bottom w:val="single" w:sz="8" w:space="0" w:color="auto"/>
              <w:right w:val="single" w:sz="8" w:space="0" w:color="auto"/>
            </w:tcBorders>
            <w:shd w:val="clear" w:color="000000" w:fill="000000"/>
            <w:noWrap/>
            <w:vAlign w:val="center"/>
            <w:hideMark/>
          </w:tcPr>
          <w:p w14:paraId="504754DD" w14:textId="77777777" w:rsidR="00F64097" w:rsidRPr="00F64097" w:rsidRDefault="00F64097" w:rsidP="00F64097">
            <w:pPr>
              <w:spacing w:after="0" w:line="240" w:lineRule="auto"/>
              <w:jc w:val="center"/>
              <w:rPr>
                <w:rFonts w:eastAsia="Times New Roman" w:cs="Arial"/>
                <w:color w:val="000000"/>
                <w:sz w:val="18"/>
                <w:szCs w:val="18"/>
                <w:lang w:eastAsia="fr-FR"/>
              </w:rPr>
            </w:pPr>
            <w:r w:rsidRPr="00F64097">
              <w:rPr>
                <w:rFonts w:eastAsia="Times New Roman" w:cs="Arial"/>
                <w:color w:val="000000"/>
                <w:sz w:val="18"/>
                <w:szCs w:val="18"/>
                <w:lang w:eastAsia="fr-FR"/>
              </w:rPr>
              <w:t> </w:t>
            </w:r>
          </w:p>
        </w:tc>
      </w:tr>
    </w:tbl>
    <w:p w14:paraId="4B94F45B" w14:textId="77777777" w:rsidR="00554267" w:rsidRDefault="00554267" w:rsidP="00554267">
      <w:pPr>
        <w:rPr>
          <w:rFonts w:cs="Arial"/>
          <w:sz w:val="2"/>
        </w:rPr>
      </w:pPr>
    </w:p>
    <w:p w14:paraId="47D5D13C" w14:textId="77777777" w:rsidR="00205C59" w:rsidRDefault="00205C59" w:rsidP="00554267">
      <w:pPr>
        <w:rPr>
          <w:rFonts w:cs="Arial"/>
          <w:sz w:val="2"/>
        </w:rPr>
      </w:pPr>
    </w:p>
    <w:p w14:paraId="70C8C54F" w14:textId="77777777" w:rsidR="00205C59" w:rsidRDefault="00205C59" w:rsidP="00554267">
      <w:pPr>
        <w:rPr>
          <w:rFonts w:cs="Arial"/>
          <w:sz w:val="2"/>
        </w:rPr>
      </w:pPr>
      <w:bookmarkStart w:id="1" w:name="_GoBack"/>
      <w:bookmarkEnd w:id="1"/>
    </w:p>
    <w:tbl>
      <w:tblPr>
        <w:tblStyle w:val="Grilledutableau"/>
        <w:tblpPr w:leftFromText="141" w:rightFromText="141" w:vertAnchor="text" w:horzAnchor="page" w:tblpXSpec="center" w:tblpY="203"/>
        <w:tblW w:w="10059" w:type="dxa"/>
        <w:shd w:val="clear" w:color="auto" w:fill="E6A300"/>
        <w:tblLook w:val="04A0" w:firstRow="1" w:lastRow="0" w:firstColumn="1" w:lastColumn="0" w:noHBand="0" w:noVBand="1"/>
      </w:tblPr>
      <w:tblGrid>
        <w:gridCol w:w="10059"/>
      </w:tblGrid>
      <w:tr w:rsidR="00F64097" w:rsidRPr="00100C2A" w14:paraId="330E4333" w14:textId="77777777" w:rsidTr="00A1342A">
        <w:trPr>
          <w:trHeight w:val="70"/>
        </w:trPr>
        <w:tc>
          <w:tcPr>
            <w:tcW w:w="10059" w:type="dxa"/>
            <w:shd w:val="clear" w:color="auto" w:fill="E6A300"/>
          </w:tcPr>
          <w:p w14:paraId="3822CE18" w14:textId="03AE532E" w:rsidR="00F64097" w:rsidRPr="00100C2A" w:rsidRDefault="00F64097" w:rsidP="00A1342A">
            <w:pPr>
              <w:pStyle w:val="Titre5"/>
              <w:jc w:val="center"/>
              <w:outlineLvl w:val="4"/>
              <w:rPr>
                <w:rFonts w:cs="Arial"/>
                <w:szCs w:val="16"/>
              </w:rPr>
            </w:pPr>
            <w:r w:rsidRPr="00100C2A">
              <w:rPr>
                <w:rFonts w:cs="Arial"/>
                <w:szCs w:val="16"/>
              </w:rPr>
              <w:t>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p w14:paraId="2A494A95" w14:textId="77777777" w:rsidR="00F64097" w:rsidRPr="00100C2A" w:rsidRDefault="00F64097" w:rsidP="00F64097">
            <w:pPr>
              <w:jc w:val="center"/>
              <w:rPr>
                <w:rFonts w:cs="Arial"/>
                <w:sz w:val="16"/>
                <w:szCs w:val="16"/>
              </w:rPr>
            </w:pPr>
            <w:r w:rsidRPr="00100C2A">
              <w:rPr>
                <w:rFonts w:cs="Arial"/>
                <w:sz w:val="16"/>
                <w:szCs w:val="16"/>
              </w:rPr>
              <w:t xml:space="preserve">Rédigé par : </w:t>
            </w:r>
            <w:r>
              <w:rPr>
                <w:rFonts w:cs="Arial"/>
                <w:sz w:val="16"/>
                <w:szCs w:val="16"/>
              </w:rPr>
              <w:t>Yacine Allam</w:t>
            </w:r>
          </w:p>
          <w:p w14:paraId="58BF0421" w14:textId="77777777" w:rsidR="00F64097" w:rsidRPr="00100C2A" w:rsidRDefault="00F64097" w:rsidP="00F64097">
            <w:pPr>
              <w:jc w:val="center"/>
              <w:rPr>
                <w:rFonts w:cs="Arial"/>
                <w:sz w:val="16"/>
                <w:szCs w:val="16"/>
              </w:rPr>
            </w:pPr>
            <w:r w:rsidRPr="00100C2A">
              <w:rPr>
                <w:rFonts w:cs="Arial"/>
                <w:sz w:val="16"/>
                <w:szCs w:val="16"/>
              </w:rPr>
              <w:t xml:space="preserve">Relu par : </w:t>
            </w:r>
            <w:r>
              <w:rPr>
                <w:rFonts w:cs="Arial"/>
                <w:sz w:val="16"/>
                <w:szCs w:val="16"/>
              </w:rPr>
              <w:t xml:space="preserve">Sébastien Bégoc, </w:t>
            </w:r>
            <w:r w:rsidRPr="00100C2A">
              <w:rPr>
                <w:rFonts w:cs="Arial"/>
                <w:sz w:val="16"/>
                <w:szCs w:val="16"/>
              </w:rPr>
              <w:t>Jean-Pierre Gastaud</w:t>
            </w:r>
          </w:p>
        </w:tc>
      </w:tr>
    </w:tbl>
    <w:p w14:paraId="08680CE1" w14:textId="559C1D30" w:rsidR="000F0B51" w:rsidRPr="00100C2A" w:rsidRDefault="000F0B51" w:rsidP="00C3179B">
      <w:pPr>
        <w:spacing w:before="120" w:after="0"/>
        <w:jc w:val="both"/>
        <w:rPr>
          <w:rFonts w:cs="Arial"/>
          <w:sz w:val="16"/>
          <w:szCs w:val="16"/>
        </w:rPr>
      </w:pPr>
    </w:p>
    <w:sectPr w:rsidR="000F0B51" w:rsidRPr="00100C2A" w:rsidSect="001C54F2">
      <w:footerReference w:type="default" r:id="rId12"/>
      <w:pgSz w:w="11906" w:h="16838"/>
      <w:pgMar w:top="1418" w:right="1134" w:bottom="1418" w:left="1134" w:header="90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946B7" w14:textId="77777777" w:rsidR="004274B0" w:rsidRDefault="004274B0" w:rsidP="00F425DB">
      <w:pPr>
        <w:spacing w:after="0" w:line="240" w:lineRule="auto"/>
      </w:pPr>
      <w:r>
        <w:separator/>
      </w:r>
    </w:p>
  </w:endnote>
  <w:endnote w:type="continuationSeparator" w:id="0">
    <w:p w14:paraId="54DC0FAF" w14:textId="77777777" w:rsidR="004274B0" w:rsidRDefault="004274B0"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C35CC4" w:rsidRPr="00347E10" w14:paraId="42042376" w14:textId="77777777" w:rsidTr="003D1901">
          <w:trPr>
            <w:trHeight w:val="815"/>
          </w:trPr>
          <w:tc>
            <w:tcPr>
              <w:tcW w:w="2410" w:type="dxa"/>
            </w:tcPr>
            <w:p w14:paraId="3F0DA762" w14:textId="58E1BA49" w:rsidR="00C35CC4" w:rsidRPr="00D41880" w:rsidRDefault="00BC3701" w:rsidP="00347E10">
              <w:pPr>
                <w:spacing w:before="120"/>
                <w:rPr>
                  <w:rFonts w:ascii="Arial Gras" w:hAnsi="Arial Gras" w:cs="Arial"/>
                  <w:b/>
                  <w:bCs/>
                  <w:color w:val="122255"/>
                  <w:sz w:val="16"/>
                </w:rPr>
              </w:pPr>
              <w:r w:rsidRPr="00BC3701">
                <w:rPr>
                  <w:rFonts w:ascii="Arial Gras" w:hAnsi="Arial Gras" w:cs="Arial"/>
                  <w:b/>
                  <w:bCs/>
                  <w:color w:val="122255"/>
                  <w:sz w:val="16"/>
                </w:rPr>
                <w:t xml:space="preserve">Avril </w:t>
              </w:r>
              <w:r w:rsidR="00C35CC4">
                <w:rPr>
                  <w:rFonts w:ascii="Arial Gras" w:hAnsi="Arial Gras" w:cs="Arial"/>
                  <w:b/>
                  <w:bCs/>
                  <w:color w:val="122255"/>
                  <w:sz w:val="16"/>
                </w:rPr>
                <w:t>2018</w:t>
              </w:r>
              <w:r w:rsidR="00C35CC4" w:rsidRPr="00347E10">
                <w:rPr>
                  <w:rFonts w:ascii="Arial Gras" w:hAnsi="Arial Gras" w:cs="Arial"/>
                  <w:b/>
                  <w:bCs/>
                  <w:color w:val="122255"/>
                  <w:sz w:val="16"/>
                </w:rPr>
                <w:t xml:space="preserve"> </w:t>
              </w:r>
              <w:r w:rsidR="00C35CC4" w:rsidRPr="00347E10">
                <w:rPr>
                  <w:rFonts w:ascii="Arial Gras" w:hAnsi="Arial Gras" w:cs="Arial"/>
                  <w:b/>
                  <w:color w:val="122255"/>
                  <w:sz w:val="16"/>
                </w:rPr>
                <w:t>© DG Trésor</w:t>
              </w:r>
            </w:p>
            <w:p w14:paraId="09DB33C5" w14:textId="77777777" w:rsidR="00C35CC4" w:rsidRPr="00347E10" w:rsidRDefault="00C35CC4" w:rsidP="005A69FD">
              <w:pPr>
                <w:rPr>
                  <w:color w:val="122255"/>
                  <w:sz w:val="18"/>
                  <w:szCs w:val="18"/>
                </w:rPr>
              </w:pPr>
            </w:p>
          </w:tc>
          <w:tc>
            <w:tcPr>
              <w:tcW w:w="5040" w:type="dxa"/>
            </w:tcPr>
            <w:p w14:paraId="395DC5E3" w14:textId="77777777" w:rsidR="00C35CC4" w:rsidRPr="00347E10" w:rsidRDefault="00C35CC4" w:rsidP="000B5DAE">
              <w:pPr>
                <w:spacing w:before="120"/>
                <w:jc w:val="center"/>
                <w:rPr>
                  <w:b/>
                  <w:color w:val="122255"/>
                  <w:sz w:val="18"/>
                  <w:szCs w:val="18"/>
                </w:rPr>
              </w:pPr>
              <w:r w:rsidRPr="00347E10">
                <w:rPr>
                  <w:b/>
                  <w:color w:val="122255"/>
                  <w:sz w:val="18"/>
                  <w:szCs w:val="18"/>
                </w:rPr>
                <w:t xml:space="preserve">AMBASSADE DE FRANCE </w:t>
              </w:r>
              <w:r>
                <w:rPr>
                  <w:b/>
                  <w:color w:val="122255"/>
                  <w:sz w:val="18"/>
                  <w:szCs w:val="18"/>
                </w:rPr>
                <w:t>EN SERBIE</w:t>
              </w:r>
            </w:p>
            <w:p w14:paraId="5D7D6D94" w14:textId="77777777" w:rsidR="00C35CC4" w:rsidRDefault="00C35CC4" w:rsidP="00803591">
              <w:pPr>
                <w:jc w:val="center"/>
                <w:rPr>
                  <w:b/>
                  <w:color w:val="122255"/>
                  <w:sz w:val="18"/>
                  <w:szCs w:val="18"/>
                </w:rPr>
              </w:pPr>
              <w:r>
                <w:rPr>
                  <w:b/>
                  <w:color w:val="122255"/>
                  <w:sz w:val="18"/>
                  <w:szCs w:val="18"/>
                </w:rPr>
                <w:t>SERVICE ECONOMIQUE DE BELGRADE</w:t>
              </w:r>
            </w:p>
            <w:p w14:paraId="2FE1B7FC" w14:textId="77777777" w:rsidR="00C35CC4" w:rsidRPr="002611F0" w:rsidRDefault="00C35CC4" w:rsidP="001C54F2">
              <w:pPr>
                <w:jc w:val="right"/>
                <w:rPr>
                  <w:color w:val="122255"/>
                  <w:sz w:val="16"/>
                  <w:szCs w:val="16"/>
                </w:rPr>
              </w:pPr>
            </w:p>
          </w:tc>
          <w:tc>
            <w:tcPr>
              <w:tcW w:w="2331" w:type="dxa"/>
            </w:tcPr>
            <w:p w14:paraId="015C03A3" w14:textId="77777777" w:rsidR="00C35CC4" w:rsidRPr="00347E10" w:rsidRDefault="00C35CC4"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A1342A">
                <w:rPr>
                  <w:b/>
                  <w:noProof/>
                  <w:color w:val="122255"/>
                  <w:sz w:val="16"/>
                  <w:szCs w:val="16"/>
                </w:rPr>
                <w:t>4</w:t>
              </w:r>
              <w:r w:rsidRPr="00347E10">
                <w:rPr>
                  <w:b/>
                  <w:color w:val="122255"/>
                  <w:sz w:val="16"/>
                  <w:szCs w:val="16"/>
                </w:rPr>
                <w:fldChar w:fldCharType="end"/>
              </w:r>
            </w:p>
          </w:tc>
        </w:tr>
      </w:tbl>
      <w:p w14:paraId="33D135E5" w14:textId="77777777" w:rsidR="00C35CC4" w:rsidRPr="005A69FD" w:rsidRDefault="00A1342A"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ABA5A" w14:textId="77777777" w:rsidR="004274B0" w:rsidRDefault="004274B0" w:rsidP="00F425DB">
      <w:pPr>
        <w:spacing w:after="0" w:line="240" w:lineRule="auto"/>
      </w:pPr>
      <w:r>
        <w:separator/>
      </w:r>
    </w:p>
  </w:footnote>
  <w:footnote w:type="continuationSeparator" w:id="0">
    <w:p w14:paraId="24DD2619" w14:textId="77777777" w:rsidR="004274B0" w:rsidRDefault="004274B0"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875E74"/>
    <w:multiLevelType w:val="hybridMultilevel"/>
    <w:tmpl w:val="A8460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D2954D9"/>
    <w:multiLevelType w:val="hybridMultilevel"/>
    <w:tmpl w:val="1BF285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9"/>
  </w:num>
  <w:num w:numId="6">
    <w:abstractNumId w:val="3"/>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1208A"/>
    <w:rsid w:val="00021F78"/>
    <w:rsid w:val="00030DE4"/>
    <w:rsid w:val="00061F4A"/>
    <w:rsid w:val="000652F9"/>
    <w:rsid w:val="0008652E"/>
    <w:rsid w:val="000B5DAE"/>
    <w:rsid w:val="000C52B6"/>
    <w:rsid w:val="000D063A"/>
    <w:rsid w:val="000D2FCB"/>
    <w:rsid w:val="000F0ABD"/>
    <w:rsid w:val="000F0B51"/>
    <w:rsid w:val="00100C2A"/>
    <w:rsid w:val="0010196A"/>
    <w:rsid w:val="0010360E"/>
    <w:rsid w:val="00171137"/>
    <w:rsid w:val="001A048C"/>
    <w:rsid w:val="001B451E"/>
    <w:rsid w:val="001B7E9B"/>
    <w:rsid w:val="001C54F2"/>
    <w:rsid w:val="001C643E"/>
    <w:rsid w:val="00205C59"/>
    <w:rsid w:val="00210DDA"/>
    <w:rsid w:val="0021111A"/>
    <w:rsid w:val="0023311E"/>
    <w:rsid w:val="0024314F"/>
    <w:rsid w:val="002446E0"/>
    <w:rsid w:val="00256A40"/>
    <w:rsid w:val="002611F0"/>
    <w:rsid w:val="002805E7"/>
    <w:rsid w:val="002903B2"/>
    <w:rsid w:val="002A008A"/>
    <w:rsid w:val="002A2D9B"/>
    <w:rsid w:val="002B2A3C"/>
    <w:rsid w:val="002C1015"/>
    <w:rsid w:val="002E6781"/>
    <w:rsid w:val="00317D2F"/>
    <w:rsid w:val="00332F60"/>
    <w:rsid w:val="00347E10"/>
    <w:rsid w:val="0037395A"/>
    <w:rsid w:val="00383A7F"/>
    <w:rsid w:val="003849B7"/>
    <w:rsid w:val="003B3388"/>
    <w:rsid w:val="003D1901"/>
    <w:rsid w:val="003F77B3"/>
    <w:rsid w:val="00404EE3"/>
    <w:rsid w:val="00405C85"/>
    <w:rsid w:val="004106D1"/>
    <w:rsid w:val="00413B0F"/>
    <w:rsid w:val="00417A6E"/>
    <w:rsid w:val="00427381"/>
    <w:rsid w:val="004274B0"/>
    <w:rsid w:val="00436D0C"/>
    <w:rsid w:val="004446E2"/>
    <w:rsid w:val="004468D5"/>
    <w:rsid w:val="00480AB6"/>
    <w:rsid w:val="004970AF"/>
    <w:rsid w:val="004A7FB0"/>
    <w:rsid w:val="004B6009"/>
    <w:rsid w:val="004C11CA"/>
    <w:rsid w:val="004C458A"/>
    <w:rsid w:val="004D7E73"/>
    <w:rsid w:val="004E6A6F"/>
    <w:rsid w:val="00501101"/>
    <w:rsid w:val="0051464E"/>
    <w:rsid w:val="0052450B"/>
    <w:rsid w:val="00525B8A"/>
    <w:rsid w:val="00540650"/>
    <w:rsid w:val="00554267"/>
    <w:rsid w:val="005A6336"/>
    <w:rsid w:val="005A69FD"/>
    <w:rsid w:val="005C107E"/>
    <w:rsid w:val="0060351E"/>
    <w:rsid w:val="0061670E"/>
    <w:rsid w:val="00640135"/>
    <w:rsid w:val="006B118B"/>
    <w:rsid w:val="006E0409"/>
    <w:rsid w:val="006F11E9"/>
    <w:rsid w:val="006F620A"/>
    <w:rsid w:val="00753FFA"/>
    <w:rsid w:val="0078429E"/>
    <w:rsid w:val="007A3648"/>
    <w:rsid w:val="007A5A3D"/>
    <w:rsid w:val="007B030B"/>
    <w:rsid w:val="007B1095"/>
    <w:rsid w:val="007B42E4"/>
    <w:rsid w:val="007E12F8"/>
    <w:rsid w:val="007F0323"/>
    <w:rsid w:val="007F1945"/>
    <w:rsid w:val="00803591"/>
    <w:rsid w:val="00815DED"/>
    <w:rsid w:val="008410A2"/>
    <w:rsid w:val="00864336"/>
    <w:rsid w:val="008658D0"/>
    <w:rsid w:val="00884344"/>
    <w:rsid w:val="008A291B"/>
    <w:rsid w:val="008A3171"/>
    <w:rsid w:val="008E73FC"/>
    <w:rsid w:val="008F1BE9"/>
    <w:rsid w:val="00926398"/>
    <w:rsid w:val="00937CB2"/>
    <w:rsid w:val="009557C3"/>
    <w:rsid w:val="0096234D"/>
    <w:rsid w:val="00977DC9"/>
    <w:rsid w:val="009A53AA"/>
    <w:rsid w:val="009C108D"/>
    <w:rsid w:val="009C68D2"/>
    <w:rsid w:val="009C6B77"/>
    <w:rsid w:val="009D189E"/>
    <w:rsid w:val="009E3933"/>
    <w:rsid w:val="009F7C9F"/>
    <w:rsid w:val="00A1342A"/>
    <w:rsid w:val="00A23AD5"/>
    <w:rsid w:val="00A47DCC"/>
    <w:rsid w:val="00A54E83"/>
    <w:rsid w:val="00A626A2"/>
    <w:rsid w:val="00A72588"/>
    <w:rsid w:val="00A72D34"/>
    <w:rsid w:val="00A95E79"/>
    <w:rsid w:val="00AA04FD"/>
    <w:rsid w:val="00AA0B01"/>
    <w:rsid w:val="00AB30F9"/>
    <w:rsid w:val="00AC2B52"/>
    <w:rsid w:val="00B40FF4"/>
    <w:rsid w:val="00B5662B"/>
    <w:rsid w:val="00B67BDA"/>
    <w:rsid w:val="00B73F35"/>
    <w:rsid w:val="00B75671"/>
    <w:rsid w:val="00B9132C"/>
    <w:rsid w:val="00B97BAE"/>
    <w:rsid w:val="00B97C3F"/>
    <w:rsid w:val="00BB65E4"/>
    <w:rsid w:val="00BC3630"/>
    <w:rsid w:val="00BC3701"/>
    <w:rsid w:val="00BD4790"/>
    <w:rsid w:val="00BE4C3D"/>
    <w:rsid w:val="00BF37F8"/>
    <w:rsid w:val="00BF5B48"/>
    <w:rsid w:val="00C13EE1"/>
    <w:rsid w:val="00C3179B"/>
    <w:rsid w:val="00C35CC4"/>
    <w:rsid w:val="00C37EFC"/>
    <w:rsid w:val="00C404B9"/>
    <w:rsid w:val="00C4094A"/>
    <w:rsid w:val="00C61FDA"/>
    <w:rsid w:val="00C64D1F"/>
    <w:rsid w:val="00CA2091"/>
    <w:rsid w:val="00CB3FC6"/>
    <w:rsid w:val="00CC6BAE"/>
    <w:rsid w:val="00D050D6"/>
    <w:rsid w:val="00D11C08"/>
    <w:rsid w:val="00D27E47"/>
    <w:rsid w:val="00D312A3"/>
    <w:rsid w:val="00D41880"/>
    <w:rsid w:val="00D420C4"/>
    <w:rsid w:val="00D42F77"/>
    <w:rsid w:val="00D4689D"/>
    <w:rsid w:val="00D64488"/>
    <w:rsid w:val="00D94F45"/>
    <w:rsid w:val="00D964F4"/>
    <w:rsid w:val="00DB2BFA"/>
    <w:rsid w:val="00DC6450"/>
    <w:rsid w:val="00DE6CFE"/>
    <w:rsid w:val="00DF352B"/>
    <w:rsid w:val="00E039E4"/>
    <w:rsid w:val="00E20017"/>
    <w:rsid w:val="00E20810"/>
    <w:rsid w:val="00E578BF"/>
    <w:rsid w:val="00E72A2A"/>
    <w:rsid w:val="00E76811"/>
    <w:rsid w:val="00E76C44"/>
    <w:rsid w:val="00E77EA9"/>
    <w:rsid w:val="00E90B48"/>
    <w:rsid w:val="00E925A7"/>
    <w:rsid w:val="00EB75F7"/>
    <w:rsid w:val="00EE32D2"/>
    <w:rsid w:val="00EE3EFD"/>
    <w:rsid w:val="00EE57C5"/>
    <w:rsid w:val="00F01B6F"/>
    <w:rsid w:val="00F05D47"/>
    <w:rsid w:val="00F35B32"/>
    <w:rsid w:val="00F425DB"/>
    <w:rsid w:val="00F5085B"/>
    <w:rsid w:val="00F560D9"/>
    <w:rsid w:val="00F64097"/>
    <w:rsid w:val="00F84BCE"/>
    <w:rsid w:val="00FA2A20"/>
    <w:rsid w:val="00FA33EF"/>
    <w:rsid w:val="00FC6535"/>
    <w:rsid w:val="00FE1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E7D3"/>
  <w15:docId w15:val="{783DB1EC-E79E-4D2B-BC86-C39FC042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character" w:styleId="Marquedecommentaire">
    <w:name w:val="annotation reference"/>
    <w:basedOn w:val="Policepardfaut"/>
    <w:uiPriority w:val="99"/>
    <w:semiHidden/>
    <w:unhideWhenUsed/>
    <w:rsid w:val="00EB75F7"/>
    <w:rPr>
      <w:sz w:val="16"/>
      <w:szCs w:val="16"/>
    </w:rPr>
  </w:style>
  <w:style w:type="paragraph" w:styleId="Commentaire">
    <w:name w:val="annotation text"/>
    <w:basedOn w:val="Normal"/>
    <w:link w:val="CommentaireCar"/>
    <w:uiPriority w:val="99"/>
    <w:semiHidden/>
    <w:unhideWhenUsed/>
    <w:rsid w:val="00EB75F7"/>
    <w:pPr>
      <w:spacing w:line="240" w:lineRule="auto"/>
    </w:pPr>
    <w:rPr>
      <w:szCs w:val="20"/>
    </w:rPr>
  </w:style>
  <w:style w:type="character" w:customStyle="1" w:styleId="CommentaireCar">
    <w:name w:val="Commentaire Car"/>
    <w:basedOn w:val="Policepardfaut"/>
    <w:link w:val="Commentaire"/>
    <w:uiPriority w:val="99"/>
    <w:semiHidden/>
    <w:rsid w:val="00EB75F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B75F7"/>
    <w:rPr>
      <w:b/>
      <w:bCs/>
    </w:rPr>
  </w:style>
  <w:style w:type="character" w:customStyle="1" w:styleId="ObjetducommentaireCar">
    <w:name w:val="Objet du commentaire Car"/>
    <w:basedOn w:val="CommentaireCar"/>
    <w:link w:val="Objetducommentaire"/>
    <w:uiPriority w:val="99"/>
    <w:semiHidden/>
    <w:rsid w:val="00EB75F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5036">
      <w:bodyDiv w:val="1"/>
      <w:marLeft w:val="0"/>
      <w:marRight w:val="0"/>
      <w:marTop w:val="0"/>
      <w:marBottom w:val="0"/>
      <w:divBdr>
        <w:top w:val="none" w:sz="0" w:space="0" w:color="auto"/>
        <w:left w:val="none" w:sz="0" w:space="0" w:color="auto"/>
        <w:bottom w:val="none" w:sz="0" w:space="0" w:color="auto"/>
        <w:right w:val="none" w:sz="0" w:space="0" w:color="auto"/>
      </w:divBdr>
    </w:div>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48714">
      <w:bodyDiv w:val="1"/>
      <w:marLeft w:val="0"/>
      <w:marRight w:val="0"/>
      <w:marTop w:val="0"/>
      <w:marBottom w:val="0"/>
      <w:divBdr>
        <w:top w:val="none" w:sz="0" w:space="0" w:color="auto"/>
        <w:left w:val="none" w:sz="0" w:space="0" w:color="auto"/>
        <w:bottom w:val="none" w:sz="0" w:space="0" w:color="auto"/>
        <w:right w:val="none" w:sz="0" w:space="0" w:color="auto"/>
      </w:divBdr>
    </w:div>
    <w:div w:id="1079907305">
      <w:bodyDiv w:val="1"/>
      <w:marLeft w:val="0"/>
      <w:marRight w:val="0"/>
      <w:marTop w:val="0"/>
      <w:marBottom w:val="0"/>
      <w:divBdr>
        <w:top w:val="none" w:sz="0" w:space="0" w:color="auto"/>
        <w:left w:val="none" w:sz="0" w:space="0" w:color="auto"/>
        <w:bottom w:val="none" w:sz="0" w:space="0" w:color="auto"/>
        <w:right w:val="none" w:sz="0" w:space="0" w:color="auto"/>
      </w:divBdr>
    </w:div>
    <w:div w:id="1282342949">
      <w:bodyDiv w:val="1"/>
      <w:marLeft w:val="0"/>
      <w:marRight w:val="0"/>
      <w:marTop w:val="0"/>
      <w:marBottom w:val="0"/>
      <w:divBdr>
        <w:top w:val="none" w:sz="0" w:space="0" w:color="auto"/>
        <w:left w:val="none" w:sz="0" w:space="0" w:color="auto"/>
        <w:bottom w:val="none" w:sz="0" w:space="0" w:color="auto"/>
        <w:right w:val="none" w:sz="0" w:space="0" w:color="auto"/>
      </w:divBdr>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481849595">
      <w:bodyDiv w:val="1"/>
      <w:marLeft w:val="0"/>
      <w:marRight w:val="0"/>
      <w:marTop w:val="0"/>
      <w:marBottom w:val="0"/>
      <w:divBdr>
        <w:top w:val="none" w:sz="0" w:space="0" w:color="auto"/>
        <w:left w:val="none" w:sz="0" w:space="0" w:color="auto"/>
        <w:bottom w:val="none" w:sz="0" w:space="0" w:color="auto"/>
        <w:right w:val="none" w:sz="0" w:space="0" w:color="auto"/>
      </w:divBdr>
    </w:div>
    <w:div w:id="1514807388">
      <w:bodyDiv w:val="1"/>
      <w:marLeft w:val="0"/>
      <w:marRight w:val="0"/>
      <w:marTop w:val="0"/>
      <w:marBottom w:val="0"/>
      <w:divBdr>
        <w:top w:val="none" w:sz="0" w:space="0" w:color="auto"/>
        <w:left w:val="none" w:sz="0" w:space="0" w:color="auto"/>
        <w:bottom w:val="none" w:sz="0" w:space="0" w:color="auto"/>
        <w:right w:val="none" w:sz="0" w:space="0" w:color="auto"/>
      </w:divBdr>
    </w:div>
    <w:div w:id="1560743395">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145678">
      <w:bodyDiv w:val="1"/>
      <w:marLeft w:val="0"/>
      <w:marRight w:val="0"/>
      <w:marTop w:val="0"/>
      <w:marBottom w:val="0"/>
      <w:divBdr>
        <w:top w:val="none" w:sz="0" w:space="0" w:color="auto"/>
        <w:left w:val="none" w:sz="0" w:space="0" w:color="auto"/>
        <w:bottom w:val="none" w:sz="0" w:space="0" w:color="auto"/>
        <w:right w:val="none" w:sz="0" w:space="0" w:color="auto"/>
      </w:divBdr>
    </w:div>
    <w:div w:id="1721974821">
      <w:bodyDiv w:val="1"/>
      <w:marLeft w:val="0"/>
      <w:marRight w:val="0"/>
      <w:marTop w:val="0"/>
      <w:marBottom w:val="0"/>
      <w:divBdr>
        <w:top w:val="none" w:sz="0" w:space="0" w:color="auto"/>
        <w:left w:val="none" w:sz="0" w:space="0" w:color="auto"/>
        <w:bottom w:val="none" w:sz="0" w:space="0" w:color="auto"/>
        <w:right w:val="none" w:sz="0" w:space="0" w:color="auto"/>
      </w:divBdr>
    </w:div>
    <w:div w:id="1948460602">
      <w:bodyDiv w:val="1"/>
      <w:marLeft w:val="0"/>
      <w:marRight w:val="0"/>
      <w:marTop w:val="0"/>
      <w:marBottom w:val="0"/>
      <w:divBdr>
        <w:top w:val="none" w:sz="0" w:space="0" w:color="auto"/>
        <w:left w:val="none" w:sz="0" w:space="0" w:color="auto"/>
        <w:bottom w:val="none" w:sz="0" w:space="0" w:color="auto"/>
        <w:right w:val="none" w:sz="0" w:space="0" w:color="auto"/>
      </w:divBdr>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 w:id="21166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yallam\Bureau\Yacine%20Allam\Notes\Bilat&#233;ral\Mont&#233;n&#233;g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2"/>
          <c:order val="2"/>
          <c:tx>
            <c:strRef>
              <c:f>Feuil2!$C$8</c:f>
              <c:strCache>
                <c:ptCount val="1"/>
                <c:pt idx="0">
                  <c:v>solde</c:v>
                </c:pt>
              </c:strCache>
            </c:strRef>
          </c:tx>
          <c:spPr>
            <a:solidFill>
              <a:schemeClr val="accent3"/>
            </a:solidFill>
            <a:ln>
              <a:noFill/>
            </a:ln>
            <a:effectLst/>
          </c:spPr>
          <c:invertIfNegative val="0"/>
          <c:dLbls>
            <c:spPr>
              <a:solidFill>
                <a:schemeClr val="bg1">
                  <a:alpha val="65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Feuil2!$D$8:$M$8</c:f>
              <c:numCache>
                <c:formatCode>General</c:formatCode>
                <c:ptCount val="10"/>
                <c:pt idx="0">
                  <c:v>27.5</c:v>
                </c:pt>
                <c:pt idx="1">
                  <c:v>5</c:v>
                </c:pt>
                <c:pt idx="2">
                  <c:v>13.3</c:v>
                </c:pt>
                <c:pt idx="3">
                  <c:v>13.8</c:v>
                </c:pt>
                <c:pt idx="4">
                  <c:v>46</c:v>
                </c:pt>
                <c:pt idx="5">
                  <c:v>17.2</c:v>
                </c:pt>
                <c:pt idx="6">
                  <c:v>22.8</c:v>
                </c:pt>
                <c:pt idx="7">
                  <c:v>13.9</c:v>
                </c:pt>
                <c:pt idx="8">
                  <c:v>11.700000000000001</c:v>
                </c:pt>
                <c:pt idx="9">
                  <c:v>25.900000000000002</c:v>
                </c:pt>
              </c:numCache>
            </c:numRef>
          </c:val>
        </c:ser>
        <c:dLbls>
          <c:showLegendKey val="0"/>
          <c:showVal val="0"/>
          <c:showCatName val="0"/>
          <c:showSerName val="0"/>
          <c:showPercent val="0"/>
          <c:showBubbleSize val="0"/>
        </c:dLbls>
        <c:gapWidth val="150"/>
        <c:axId val="452637800"/>
        <c:axId val="452638584"/>
      </c:barChart>
      <c:lineChart>
        <c:grouping val="standard"/>
        <c:varyColors val="0"/>
        <c:ser>
          <c:idx val="0"/>
          <c:order val="0"/>
          <c:tx>
            <c:strRef>
              <c:f>Feuil2!$C$6</c:f>
              <c:strCache>
                <c:ptCount val="1"/>
                <c:pt idx="0">
                  <c:v>export</c:v>
                </c:pt>
              </c:strCache>
            </c:strRef>
          </c:tx>
          <c:spPr>
            <a:ln w="28575" cap="rnd">
              <a:solidFill>
                <a:schemeClr val="accent1"/>
              </a:solidFill>
              <a:round/>
            </a:ln>
            <a:effectLst/>
          </c:spPr>
          <c:marker>
            <c:symbol val="none"/>
          </c:marker>
          <c:cat>
            <c:strRef>
              <c:f>Feuil2!$D$1:$M$2</c:f>
              <c:strCache>
                <c:ptCount val="10"/>
                <c:pt idx="0">
                  <c:v>2008</c:v>
                </c:pt>
                <c:pt idx="1">
                  <c:v>2009</c:v>
                </c:pt>
                <c:pt idx="2">
                  <c:v>2010</c:v>
                </c:pt>
                <c:pt idx="3">
                  <c:v>2011</c:v>
                </c:pt>
                <c:pt idx="4">
                  <c:v>2012</c:v>
                </c:pt>
                <c:pt idx="5">
                  <c:v>2013</c:v>
                </c:pt>
                <c:pt idx="6">
                  <c:v>2014</c:v>
                </c:pt>
                <c:pt idx="7">
                  <c:v>2015</c:v>
                </c:pt>
                <c:pt idx="8">
                  <c:v>2016</c:v>
                </c:pt>
                <c:pt idx="9">
                  <c:v>2017</c:v>
                </c:pt>
              </c:strCache>
            </c:strRef>
          </c:cat>
          <c:val>
            <c:numRef>
              <c:f>Feuil2!$D$6:$M$6</c:f>
              <c:numCache>
                <c:formatCode>General</c:formatCode>
                <c:ptCount val="10"/>
                <c:pt idx="0">
                  <c:v>29.5</c:v>
                </c:pt>
                <c:pt idx="1">
                  <c:v>8.7000000000000011</c:v>
                </c:pt>
                <c:pt idx="2">
                  <c:v>15.200000000000001</c:v>
                </c:pt>
                <c:pt idx="3">
                  <c:v>19.8</c:v>
                </c:pt>
                <c:pt idx="4">
                  <c:v>50.400000000000006</c:v>
                </c:pt>
                <c:pt idx="5">
                  <c:v>19.900000000000002</c:v>
                </c:pt>
                <c:pt idx="6">
                  <c:v>26.3</c:v>
                </c:pt>
                <c:pt idx="7">
                  <c:v>19.400000000000002</c:v>
                </c:pt>
                <c:pt idx="8">
                  <c:v>14.700000000000001</c:v>
                </c:pt>
                <c:pt idx="9">
                  <c:v>29.200000000000003</c:v>
                </c:pt>
              </c:numCache>
            </c:numRef>
          </c:val>
          <c:smooth val="0"/>
        </c:ser>
        <c:ser>
          <c:idx val="1"/>
          <c:order val="1"/>
          <c:tx>
            <c:strRef>
              <c:f>Feuil2!$C$7</c:f>
              <c:strCache>
                <c:ptCount val="1"/>
                <c:pt idx="0">
                  <c:v>import</c:v>
                </c:pt>
              </c:strCache>
            </c:strRef>
          </c:tx>
          <c:spPr>
            <a:ln w="28575" cap="rnd">
              <a:solidFill>
                <a:schemeClr val="accent2"/>
              </a:solidFill>
              <a:round/>
            </a:ln>
            <a:effectLst/>
          </c:spPr>
          <c:marker>
            <c:symbol val="none"/>
          </c:marker>
          <c:cat>
            <c:strRef>
              <c:f>Feuil2!$D$1:$M$2</c:f>
              <c:strCache>
                <c:ptCount val="10"/>
                <c:pt idx="0">
                  <c:v>2008</c:v>
                </c:pt>
                <c:pt idx="1">
                  <c:v>2009</c:v>
                </c:pt>
                <c:pt idx="2">
                  <c:v>2010</c:v>
                </c:pt>
                <c:pt idx="3">
                  <c:v>2011</c:v>
                </c:pt>
                <c:pt idx="4">
                  <c:v>2012</c:v>
                </c:pt>
                <c:pt idx="5">
                  <c:v>2013</c:v>
                </c:pt>
                <c:pt idx="6">
                  <c:v>2014</c:v>
                </c:pt>
                <c:pt idx="7">
                  <c:v>2015</c:v>
                </c:pt>
                <c:pt idx="8">
                  <c:v>2016</c:v>
                </c:pt>
                <c:pt idx="9">
                  <c:v>2017</c:v>
                </c:pt>
              </c:strCache>
            </c:strRef>
          </c:cat>
          <c:val>
            <c:numRef>
              <c:f>Feuil2!$D$7:$M$7</c:f>
              <c:numCache>
                <c:formatCode>General</c:formatCode>
                <c:ptCount val="10"/>
                <c:pt idx="0">
                  <c:v>2</c:v>
                </c:pt>
                <c:pt idx="1">
                  <c:v>3.7</c:v>
                </c:pt>
                <c:pt idx="2">
                  <c:v>1.9000000000000001</c:v>
                </c:pt>
                <c:pt idx="3">
                  <c:v>5.9</c:v>
                </c:pt>
                <c:pt idx="4">
                  <c:v>4.4000000000000004</c:v>
                </c:pt>
                <c:pt idx="5">
                  <c:v>2.7</c:v>
                </c:pt>
                <c:pt idx="6">
                  <c:v>3.6</c:v>
                </c:pt>
                <c:pt idx="7">
                  <c:v>5.4</c:v>
                </c:pt>
                <c:pt idx="8">
                  <c:v>3</c:v>
                </c:pt>
                <c:pt idx="9">
                  <c:v>3.3000000000000003</c:v>
                </c:pt>
              </c:numCache>
            </c:numRef>
          </c:val>
          <c:smooth val="0"/>
        </c:ser>
        <c:dLbls>
          <c:showLegendKey val="0"/>
          <c:showVal val="0"/>
          <c:showCatName val="0"/>
          <c:showSerName val="0"/>
          <c:showPercent val="0"/>
          <c:showBubbleSize val="0"/>
        </c:dLbls>
        <c:marker val="1"/>
        <c:smooth val="0"/>
        <c:axId val="452637800"/>
        <c:axId val="452638584"/>
      </c:lineChart>
      <c:catAx>
        <c:axId val="452637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52638584"/>
        <c:crosses val="autoZero"/>
        <c:auto val="1"/>
        <c:lblAlgn val="ctr"/>
        <c:lblOffset val="100"/>
        <c:noMultiLvlLbl val="0"/>
      </c:catAx>
      <c:valAx>
        <c:axId val="45263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52637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E761ADFB4849AE1F01BA2109305C" ma:contentTypeVersion="0" ma:contentTypeDescription="Crée un document." ma:contentTypeScope="" ma:versionID="33fce3a26d1c651dbea53a2beff07cd2">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4A34-D51D-4D23-96DB-A5BF9E7E6C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EA6552-CED5-42A0-B9B4-64B2E88FB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4.xml><?xml version="1.0" encoding="utf-8"?>
<ds:datastoreItem xmlns:ds="http://schemas.openxmlformats.org/officeDocument/2006/customXml" ds:itemID="{4F54BE45-22DC-41C0-8182-B4A38CF3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7093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MARGELIDON Paul</dc:creator>
  <cp:lastModifiedBy>BEGOC Sébastien</cp:lastModifiedBy>
  <cp:revision>4</cp:revision>
  <cp:lastPrinted>2014-06-03T08:56:00Z</cp:lastPrinted>
  <dcterms:created xsi:type="dcterms:W3CDTF">2018-04-16T10:30:00Z</dcterms:created>
  <dcterms:modified xsi:type="dcterms:W3CDTF">2018-04-16T10:33:00Z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0x0101000858E761ADFB4849AE1F01BA2109305C</vt:lpwstr>
  </property>
</Properties>
</file>