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1434" w14:textId="77777777" w:rsidR="00064AB6" w:rsidRDefault="006D6AAB" w:rsidP="00064AB6">
      <w:pPr>
        <w:spacing w:line="240" w:lineRule="auto"/>
        <w:ind w:right="1"/>
        <w:rPr>
          <w:rFonts w:ascii="Segoe UI" w:hAnsi="Segoe UI" w:cs="Segoe UI"/>
          <w:color w:val="000099"/>
          <w:sz w:val="20"/>
          <w:szCs w:val="20"/>
        </w:rPr>
      </w:pPr>
      <w:r>
        <w:rPr>
          <w:rFonts w:ascii="Segoe UI" w:eastAsia="Calibri" w:hAnsi="Segoe UI" w:cs="Segoe UI"/>
          <w:noProof/>
          <w:color w:val="000091"/>
        </w:rPr>
        <mc:AlternateContent>
          <mc:Choice Requires="wps">
            <w:drawing>
              <wp:anchor distT="0" distB="0" distL="114300" distR="114300" simplePos="0" relativeHeight="251659264" behindDoc="0" locked="0" layoutInCell="1" allowOverlap="1" wp14:anchorId="548D7429" wp14:editId="51AE1DA3">
                <wp:simplePos x="0" y="0"/>
                <wp:positionH relativeFrom="margin">
                  <wp:posOffset>-400685</wp:posOffset>
                </wp:positionH>
                <wp:positionV relativeFrom="paragraph">
                  <wp:posOffset>1435736</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w="12700" cap="flat" cmpd="sng" algn="ctr">
                          <a:noFill/>
                          <a:prstDash val="solid"/>
                          <a:miter lim="800000"/>
                        </a:ln>
                        <a:effectLst/>
                      </wps:spPr>
                      <wps:txbx>
                        <w:txbxContent>
                          <w:p w14:paraId="3B32AE70" w14:textId="77777777" w:rsidR="000C3D96" w:rsidRPr="00891074" w:rsidRDefault="00891074" w:rsidP="000C3D96">
                            <w:pPr>
                              <w:jc w:val="center"/>
                              <w:rPr>
                                <w:lang w:val="en-US"/>
                              </w:rPr>
                            </w:pPr>
                            <w:r>
                              <w:rPr>
                                <w:rFonts w:ascii="Segoe UI" w:hAnsi="Segoe UI" w:cs="Segoe UI"/>
                                <w:b/>
                                <w:bCs/>
                                <w:color w:val="000091"/>
                                <w:sz w:val="32"/>
                                <w:szCs w:val="20"/>
                                <w:lang w:val="en-US"/>
                              </w:rPr>
                              <w:t>SRI LANKA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D7429" id="Rectangle 4" o:spid="_x0000_s1026" style="position:absolute;margin-left:-31.55pt;margin-top:113.05pt;width:535.5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" fillcolor="#fcc63a" stroked="f" strokeweight="1pt">
                <v:textbox>
                  <w:txbxContent>
                    <w:p w14:paraId="3B32AE70" w14:textId="77777777" w:rsidR="000C3D96" w:rsidRPr="00891074" w:rsidRDefault="00891074" w:rsidP="000C3D96">
                      <w:pPr>
                        <w:jc w:val="center"/>
                        <w:rPr>
                          <w:lang w:val="en-US"/>
                        </w:rPr>
                      </w:pPr>
                      <w:r>
                        <w:rPr>
                          <w:rFonts w:ascii="Segoe UI" w:hAnsi="Segoe UI" w:cs="Segoe UI"/>
                          <w:b/>
                          <w:bCs/>
                          <w:color w:val="000091"/>
                          <w:sz w:val="32"/>
                          <w:szCs w:val="20"/>
                          <w:lang w:val="en-US"/>
                        </w:rPr>
                        <w:t>SRI LANKA</w:t>
                      </w:r>
                    </w:p>
                  </w:txbxContent>
                </v:textbox>
                <w10:wrap anchorx="margin"/>
              </v:rect>
            </w:pict>
          </mc:Fallback>
        </mc:AlternateContent>
      </w:r>
      <w:r>
        <w:rPr>
          <w:rFonts w:ascii="Segoe UI" w:eastAsia="Calibri" w:hAnsi="Segoe UI" w:cs="Segoe UI"/>
          <w:noProof/>
          <w:color w:val="000091"/>
        </w:rPr>
        <mc:AlternateContent>
          <mc:Choice Requires="wps">
            <w:drawing>
              <wp:anchor distT="0" distB="0" distL="114300" distR="114300" simplePos="0" relativeHeight="251660288" behindDoc="0" locked="0" layoutInCell="1" allowOverlap="1" wp14:anchorId="1FB3E0C4" wp14:editId="52C27DEB">
                <wp:simplePos x="0" y="0"/>
                <wp:positionH relativeFrom="margin">
                  <wp:posOffset>-410210</wp:posOffset>
                </wp:positionH>
                <wp:positionV relativeFrom="paragraph">
                  <wp:posOffset>988060</wp:posOffset>
                </wp:positionV>
                <wp:extent cx="6800850" cy="4381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38150"/>
                        </a:xfrm>
                        <a:prstGeom prst="rect">
                          <a:avLst/>
                        </a:prstGeom>
                        <a:solidFill>
                          <a:srgbClr val="FCC63A">
                            <a:lumMod val="40000"/>
                            <a:lumOff val="60000"/>
                          </a:srgbClr>
                        </a:solidFill>
                        <a:ln w="12700" cap="flat" cmpd="sng" algn="ctr">
                          <a:noFill/>
                          <a:prstDash val="solid"/>
                          <a:miter lim="800000"/>
                        </a:ln>
                        <a:effectLst/>
                      </wps:spPr>
                      <wps:txbx>
                        <w:txbxContent>
                          <w:p w14:paraId="1339F8D2" w14:textId="77777777" w:rsidR="000C3D96" w:rsidRPr="000C3D96" w:rsidRDefault="000C3D96" w:rsidP="000C3D96">
                            <w:pPr>
                              <w:tabs>
                                <w:tab w:val="left" w:pos="3969"/>
                              </w:tabs>
                              <w:spacing w:after="0"/>
                              <w:ind w:left="57"/>
                              <w:rPr>
                                <w:rFonts w:ascii="Segoe UI" w:hAnsi="Segoe UI" w:cs="Segoe UI"/>
                                <w:bCs/>
                                <w:color w:val="000091"/>
                                <w:sz w:val="18"/>
                                <w:szCs w:val="18"/>
                                <w:lang w:eastAsia="ja-JP"/>
                              </w:rPr>
                            </w:pPr>
                            <w:r>
                              <w:rPr>
                                <w:rFonts w:ascii="Segoe UI" w:hAnsi="Segoe UI" w:cs="Segoe UI"/>
                                <w:bCs/>
                                <w:color w:val="000091"/>
                                <w:sz w:val="18"/>
                                <w:szCs w:val="18"/>
                                <w:lang w:eastAsia="ja-JP"/>
                              </w:rPr>
                              <w:t>Ambassade de France au Sri Lanka et aux Maldives</w:t>
                            </w:r>
                          </w:p>
                          <w:p w14:paraId="320B47D0" w14:textId="77777777" w:rsidR="000C3D96" w:rsidRPr="00A0743B" w:rsidRDefault="000C3D96" w:rsidP="000C3D96">
                            <w:pPr>
                              <w:spacing w:after="0"/>
                              <w:ind w:left="57" w:right="614"/>
                              <w:jc w:val="both"/>
                              <w:rPr>
                                <w:rFonts w:ascii="Arial" w:hAnsi="Arial" w:cs="Arial"/>
                                <w:b/>
                                <w:bCs/>
                                <w:sz w:val="20"/>
                                <w:szCs w:val="20"/>
                              </w:rPr>
                            </w:pPr>
                            <w:r>
                              <w:rPr>
                                <w:rFonts w:ascii="Segoe UI" w:hAnsi="Segoe UI" w:cs="Segoe UI"/>
                                <w:bCs/>
                                <w:color w:val="000091"/>
                                <w:sz w:val="18"/>
                                <w:szCs w:val="18"/>
                                <w:lang w:eastAsia="ja-JP"/>
                              </w:rPr>
                              <w:t>Service économique de Colombo</w:t>
                            </w:r>
                            <w:r>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B3E0C4" id="Rectangle 2" o:spid="_x0000_s1027" style="position:absolute;margin-left:-32.3pt;margin-top:77.8pt;width:535.5pt;height:3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" fillcolor="#fee8b0" stroked="f" strokeweight="1pt">
                <v:textbox>
                  <w:txbxContent>
                    <w:p w14:paraId="1339F8D2" w14:textId="77777777" w:rsidR="000C3D96" w:rsidRPr="000C3D96" w:rsidRDefault="000C3D96" w:rsidP="000C3D96">
                      <w:pPr>
                        <w:tabs>
                          <w:tab w:val="left" w:pos="3969"/>
                        </w:tabs>
                        <w:spacing w:after="0"/>
                        <w:ind w:left="57"/>
                        <w:rPr>
                          <w:rFonts w:ascii="Segoe UI" w:hAnsi="Segoe UI" w:cs="Segoe UI"/>
                          <w:bCs/>
                          <w:color w:val="000091"/>
                          <w:sz w:val="18"/>
                          <w:szCs w:val="18"/>
                          <w:lang w:eastAsia="ja-JP"/>
                        </w:rPr>
                      </w:pPr>
                      <w:r>
                        <w:rPr>
                          <w:rFonts w:ascii="Segoe UI" w:hAnsi="Segoe UI" w:cs="Segoe UI"/>
                          <w:bCs/>
                          <w:color w:val="000091"/>
                          <w:sz w:val="18"/>
                          <w:szCs w:val="18"/>
                          <w:lang w:eastAsia="ja-JP"/>
                        </w:rPr>
                        <w:t>Ambassade de France au Sri Lanka et aux Maldives</w:t>
                      </w:r>
                    </w:p>
                    <w:p w14:paraId="320B47D0" w14:textId="77777777" w:rsidR="000C3D96" w:rsidRPr="00A0743B" w:rsidRDefault="000C3D96" w:rsidP="000C3D96">
                      <w:pPr>
                        <w:spacing w:after="0"/>
                        <w:ind w:left="57" w:right="614"/>
                        <w:jc w:val="both"/>
                        <w:rPr>
                          <w:rFonts w:ascii="Arial" w:hAnsi="Arial" w:cs="Arial"/>
                          <w:b/>
                          <w:bCs/>
                          <w:sz w:val="20"/>
                          <w:szCs w:val="20"/>
                        </w:rPr>
                      </w:pPr>
                      <w:r>
                        <w:rPr>
                          <w:rFonts w:ascii="Segoe UI" w:hAnsi="Segoe UI" w:cs="Segoe UI"/>
                          <w:bCs/>
                          <w:color w:val="000091"/>
                          <w:sz w:val="18"/>
                          <w:szCs w:val="18"/>
                          <w:lang w:eastAsia="ja-JP"/>
                        </w:rPr>
                        <w:t>Service économique de Colombo</w:t>
                      </w:r>
                      <w:r>
                        <w:rPr>
                          <w:rFonts w:ascii="Arial" w:hAnsi="Arial" w:cs="Arial"/>
                          <w:b/>
                          <w:bCs/>
                          <w:sz w:val="20"/>
                          <w:szCs w:val="20"/>
                        </w:rPr>
                        <w:t xml:space="preserve"> </w:t>
                      </w:r>
                    </w:p>
                  </w:txbxContent>
                </v:textbox>
                <w10:wrap type="topAndBottom" anchorx="margin"/>
              </v:rect>
            </w:pict>
          </mc:Fallback>
        </mc:AlternateContent>
      </w:r>
      <w:bookmarkStart w:id="0" w:name="_Hlk216338221"/>
      <w:bookmarkEnd w:id="0"/>
      <w:r>
        <w:rPr>
          <w:rFonts w:ascii="Segoe UI" w:eastAsia="Calibri" w:hAnsi="Segoe UI" w:cs="Segoe UI"/>
          <w:noProof/>
          <w:color w:val="000091"/>
        </w:rPr>
        <mc:AlternateContent>
          <mc:Choice Requires="wps">
            <w:drawing>
              <wp:anchor distT="0" distB="0" distL="114300" distR="114300" simplePos="0" relativeHeight="251662336" behindDoc="0" locked="0" layoutInCell="1" allowOverlap="1" wp14:anchorId="0A657B7D" wp14:editId="723F1916">
                <wp:simplePos x="0" y="0"/>
                <wp:positionH relativeFrom="margin">
                  <wp:posOffset>3695065</wp:posOffset>
                </wp:positionH>
                <wp:positionV relativeFrom="paragraph">
                  <wp:posOffset>988060</wp:posOffset>
                </wp:positionV>
                <wp:extent cx="2508250" cy="6477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647700"/>
                        </a:xfrm>
                        <a:prstGeom prst="rect">
                          <a:avLst/>
                        </a:prstGeom>
                        <a:noFill/>
                        <a:ln w="6350">
                          <a:noFill/>
                        </a:ln>
                      </wps:spPr>
                      <wps:txbx>
                        <w:txbxContent>
                          <w:p w14:paraId="17CACBDD" w14:textId="77777777" w:rsidR="000C3D96" w:rsidRPr="002657A1" w:rsidRDefault="000C3D96" w:rsidP="000C3D96">
                            <w:pPr>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Affaire suivie par Matheo VANHUYSE</w:t>
                            </w:r>
                          </w:p>
                          <w:p w14:paraId="59FB9974" w14:textId="77777777" w:rsidR="00F00756" w:rsidRDefault="00F00756" w:rsidP="000C3D96">
                            <w:pPr>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Visa : Philippe FOUET</w:t>
                            </w:r>
                          </w:p>
                          <w:p w14:paraId="243ACB83" w14:textId="77777777" w:rsidR="00F00756" w:rsidRDefault="00F00756" w:rsidP="000C3D96">
                            <w:pPr>
                              <w:tabs>
                                <w:tab w:val="left" w:pos="3969"/>
                              </w:tabs>
                              <w:spacing w:after="0"/>
                              <w:jc w:val="right"/>
                              <w:rPr>
                                <w:rFonts w:ascii="Segoe UI" w:hAnsi="Segoe UI" w:cs="Segoe UI"/>
                                <w:color w:val="000091"/>
                                <w:sz w:val="17"/>
                                <w:szCs w:val="17"/>
                                <w:lang w:eastAsia="ja-JP"/>
                              </w:rPr>
                            </w:pPr>
                          </w:p>
                          <w:p w14:paraId="7E9E284B" w14:textId="77777777" w:rsidR="000C3D96" w:rsidRPr="000C3D96" w:rsidRDefault="000C3D96" w:rsidP="0022687E">
                            <w:pPr>
                              <w:spacing w:after="0"/>
                              <w:ind w:left="142" w:right="-88"/>
                              <w:jc w:val="center"/>
                              <w:rPr>
                                <w:rFonts w:ascii="Arial" w:hAnsi="Arial" w:cs="Arial"/>
                                <w:color w:val="00009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57B7D" id="_x0000_t202" coordsize="21600,21600" o:spt="202" path="m,l,21600r21600,l21600,xe">
                <v:stroke joinstyle="miter"/>
                <v:path gradientshapeok="t" o:connecttype="rect"/>
              </v:shapetype>
              <v:shape id="Zone de texte 3" o:spid="_x0000_s1028" type="#_x0000_t202" style="position:absolute;margin-left:290.95pt;margin-top:77.8pt;width:197.5pt;height: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" filled="f" stroked="f" strokeweight=".5pt">
                <v:textbox>
                  <w:txbxContent>
                    <w:p w14:paraId="17CACBDD" w14:textId="77777777" w:rsidR="000C3D96" w:rsidRPr="002657A1" w:rsidRDefault="000C3D96" w:rsidP="000C3D96">
                      <w:pPr>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Affaire suivie par Matheo VANHUYSE</w:t>
                      </w:r>
                    </w:p>
                    <w:p w14:paraId="59FB9974" w14:textId="77777777" w:rsidR="00F00756" w:rsidRDefault="00F00756" w:rsidP="000C3D96">
                      <w:pPr>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Visa : Philippe FOUET</w:t>
                      </w:r>
                    </w:p>
                    <w:p w14:paraId="243ACB83" w14:textId="77777777" w:rsidR="00F00756" w:rsidRDefault="00F00756" w:rsidP="000C3D96">
                      <w:pPr>
                        <w:tabs>
                          <w:tab w:val="left" w:pos="3969"/>
                        </w:tabs>
                        <w:spacing w:after="0"/>
                        <w:jc w:val="right"/>
                        <w:rPr>
                          <w:rFonts w:ascii="Segoe UI" w:hAnsi="Segoe UI" w:cs="Segoe UI"/>
                          <w:color w:val="000091"/>
                          <w:sz w:val="17"/>
                          <w:szCs w:val="17"/>
                          <w:lang w:eastAsia="ja-JP"/>
                        </w:rPr>
                      </w:pPr>
                    </w:p>
                    <w:p w14:paraId="7E9E284B" w14:textId="77777777" w:rsidR="000C3D96" w:rsidRPr="000C3D96" w:rsidRDefault="000C3D96" w:rsidP="0022687E">
                      <w:pPr>
                        <w:spacing w:after="0"/>
                        <w:ind w:left="142" w:right="-88"/>
                        <w:jc w:val="center"/>
                        <w:rPr>
                          <w:rFonts w:ascii="Arial" w:hAnsi="Arial" w:cs="Arial"/>
                          <w:color w:val="000091"/>
                          <w:sz w:val="18"/>
                          <w:szCs w:val="18"/>
                        </w:rPr>
                      </w:pPr>
                    </w:p>
                  </w:txbxContent>
                </v:textbox>
                <w10:wrap anchorx="margin"/>
              </v:shape>
            </w:pict>
          </mc:Fallback>
        </mc:AlternateContent>
      </w:r>
      <w:r>
        <w:rPr>
          <w:rFonts w:ascii="Segoe UI" w:eastAsia="Calibri" w:hAnsi="Segoe UI" w:cs="Segoe UI"/>
          <w:noProof/>
          <w:color w:val="000091"/>
        </w:rPr>
        <w:drawing>
          <wp:anchor distT="0" distB="0" distL="114300" distR="114300" simplePos="0" relativeHeight="251661312" behindDoc="1" locked="0" layoutInCell="1" allowOverlap="1" wp14:anchorId="79B26769" wp14:editId="4C362240">
            <wp:simplePos x="0" y="0"/>
            <wp:positionH relativeFrom="column">
              <wp:posOffset>-261620</wp:posOffset>
            </wp:positionH>
            <wp:positionV relativeFrom="margin">
              <wp:align>top</wp:align>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Pr>
          <w:rFonts w:ascii="Segoe UI" w:eastAsia="Calibri" w:hAnsi="Segoe UI" w:cs="Segoe UI"/>
          <w:noProof/>
          <w:color w:val="000091"/>
        </w:rPr>
        <mc:AlternateContent>
          <mc:Choice Requires="wps">
            <w:drawing>
              <wp:anchor distT="45720" distB="45720" distL="114300" distR="114300" simplePos="0" relativeHeight="251663360" behindDoc="0" locked="0" layoutInCell="1" allowOverlap="1" wp14:anchorId="53CCDBDF" wp14:editId="751BE60E">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10B589B4" w14:textId="51C7BE4E" w:rsidR="00530274" w:rsidRDefault="000C3D96" w:rsidP="000C3D96">
                            <w:pPr>
                              <w:spacing w:before="120" w:after="120"/>
                              <w:ind w:right="284"/>
                              <w:jc w:val="right"/>
                              <w:rPr>
                                <w:rFonts w:ascii="Segoe UI" w:hAnsi="Segoe UI" w:cs="Segoe UI"/>
                                <w:color w:val="986E02"/>
                                <w:sz w:val="17"/>
                                <w:szCs w:val="17"/>
                                <w:lang w:eastAsia="ja-JP"/>
                              </w:rPr>
                            </w:pPr>
                            <w:r>
                              <w:rPr>
                                <w:rFonts w:ascii="Segoe UI" w:hAnsi="Segoe UI" w:cs="Segoe UI"/>
                                <w:color w:val="986E02"/>
                                <w:sz w:val="17"/>
                                <w:szCs w:val="17"/>
                                <w:lang w:eastAsia="ja-JP"/>
                              </w:rPr>
                              <w:t xml:space="preserve">Colombo, le </w:t>
                            </w:r>
                            <w:r w:rsidR="00E44E3C">
                              <w:rPr>
                                <w:rFonts w:ascii="Segoe UI" w:hAnsi="Segoe UI" w:cs="Segoe UI"/>
                                <w:color w:val="986E02"/>
                                <w:sz w:val="17"/>
                                <w:szCs w:val="17"/>
                                <w:lang w:eastAsia="ja-JP"/>
                              </w:rPr>
                              <w:t>5 août</w:t>
                            </w:r>
                            <w:r>
                              <w:rPr>
                                <w:rFonts w:ascii="Segoe UI" w:hAnsi="Segoe UI" w:cs="Segoe UI"/>
                                <w:color w:val="986E02"/>
                                <w:sz w:val="17"/>
                                <w:szCs w:val="17"/>
                                <w:lang w:eastAsia="ja-JP"/>
                              </w:rPr>
                              <w:t xml:space="preserve"> 2026</w:t>
                            </w:r>
                          </w:p>
                          <w:p w14:paraId="1F707EAE" w14:textId="77777777" w:rsidR="00530274" w:rsidRDefault="00530274" w:rsidP="00530274">
                            <w:pPr>
                              <w:spacing w:before="120" w:after="120"/>
                              <w:ind w:right="284"/>
                              <w:jc w:val="center"/>
                              <w:rPr>
                                <w:rFonts w:ascii="Segoe UI" w:hAnsi="Segoe UI" w:cs="Segoe UI"/>
                                <w:color w:val="986E02"/>
                                <w:sz w:val="17"/>
                                <w:szCs w:val="17"/>
                                <w:lang w:eastAsia="ja-JP"/>
                              </w:rPr>
                            </w:pPr>
                          </w:p>
                          <w:p w14:paraId="39B8AD35" w14:textId="77777777" w:rsidR="000C3D96" w:rsidRPr="000C3D96" w:rsidRDefault="000C3D96" w:rsidP="00530274">
                            <w:pPr>
                              <w:spacing w:before="120" w:after="120"/>
                              <w:ind w:right="284"/>
                              <w:jc w:val="center"/>
                              <w:rPr>
                                <w:color w:val="986E02"/>
                                <w:sz w:val="17"/>
                                <w:szCs w:val="17"/>
                              </w:rPr>
                            </w:pPr>
                          </w:p>
                          <w:p w14:paraId="7CD9957B" w14:textId="77777777" w:rsidR="000C3D96" w:rsidRPr="00490B3C" w:rsidRDefault="000C3D96" w:rsidP="000C3D96">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CDBDF" id="Zone de texte 2" o:spid="_x0000_s1029" type="#_x0000_t202" style="position:absolute;margin-left:302.7pt;margin-top:47.65pt;width:198.75pt;height:27.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" filled="f" stroked="f">
                <v:textbox>
                  <w:txbxContent>
                    <w:p w14:paraId="10B589B4" w14:textId="51C7BE4E" w:rsidR="00530274" w:rsidRDefault="000C3D96" w:rsidP="000C3D96">
                      <w:pPr>
                        <w:spacing w:before="120" w:after="120"/>
                        <w:ind w:right="284"/>
                        <w:jc w:val="right"/>
                        <w:rPr>
                          <w:rFonts w:ascii="Segoe UI" w:hAnsi="Segoe UI" w:cs="Segoe UI"/>
                          <w:color w:val="986E02"/>
                          <w:sz w:val="17"/>
                          <w:szCs w:val="17"/>
                          <w:lang w:eastAsia="ja-JP"/>
                        </w:rPr>
                      </w:pPr>
                      <w:r>
                        <w:rPr>
                          <w:rFonts w:ascii="Segoe UI" w:hAnsi="Segoe UI" w:cs="Segoe UI"/>
                          <w:color w:val="986E02"/>
                          <w:sz w:val="17"/>
                          <w:szCs w:val="17"/>
                          <w:lang w:eastAsia="ja-JP"/>
                        </w:rPr>
                        <w:t xml:space="preserve">Colombo, le </w:t>
                      </w:r>
                      <w:r w:rsidR="00E44E3C">
                        <w:rPr>
                          <w:rFonts w:ascii="Segoe UI" w:hAnsi="Segoe UI" w:cs="Segoe UI"/>
                          <w:color w:val="986E02"/>
                          <w:sz w:val="17"/>
                          <w:szCs w:val="17"/>
                          <w:lang w:eastAsia="ja-JP"/>
                        </w:rPr>
                        <w:t>5 août</w:t>
                      </w:r>
                      <w:r>
                        <w:rPr>
                          <w:rFonts w:ascii="Segoe UI" w:hAnsi="Segoe UI" w:cs="Segoe UI"/>
                          <w:color w:val="986E02"/>
                          <w:sz w:val="17"/>
                          <w:szCs w:val="17"/>
                          <w:lang w:eastAsia="ja-JP"/>
                        </w:rPr>
                        <w:t xml:space="preserve"> 2026</w:t>
                      </w:r>
                    </w:p>
                    <w:p w14:paraId="1F707EAE" w14:textId="77777777" w:rsidR="00530274" w:rsidRDefault="00530274" w:rsidP="00530274">
                      <w:pPr>
                        <w:spacing w:before="120" w:after="120"/>
                        <w:ind w:right="284"/>
                        <w:jc w:val="center"/>
                        <w:rPr>
                          <w:rFonts w:ascii="Segoe UI" w:hAnsi="Segoe UI" w:cs="Segoe UI"/>
                          <w:color w:val="986E02"/>
                          <w:sz w:val="17"/>
                          <w:szCs w:val="17"/>
                          <w:lang w:eastAsia="ja-JP"/>
                        </w:rPr>
                      </w:pPr>
                    </w:p>
                    <w:p w14:paraId="39B8AD35" w14:textId="77777777" w:rsidR="000C3D96" w:rsidRPr="000C3D96" w:rsidRDefault="000C3D96" w:rsidP="00530274">
                      <w:pPr>
                        <w:spacing w:before="120" w:after="120"/>
                        <w:ind w:right="284"/>
                        <w:jc w:val="center"/>
                        <w:rPr>
                          <w:color w:val="986E02"/>
                          <w:sz w:val="17"/>
                          <w:szCs w:val="17"/>
                        </w:rPr>
                      </w:pPr>
                    </w:p>
                    <w:p w14:paraId="7CD9957B" w14:textId="77777777" w:rsidR="000C3D96" w:rsidRPr="00490B3C" w:rsidRDefault="000C3D96" w:rsidP="000C3D96">
                      <w:pPr>
                        <w:rPr>
                          <w:sz w:val="28"/>
                          <w:szCs w:val="28"/>
                        </w:rPr>
                      </w:pPr>
                    </w:p>
                  </w:txbxContent>
                </v:textbox>
                <w10:wrap type="square" anchorx="margin"/>
              </v:shape>
            </w:pict>
          </mc:Fallback>
        </mc:AlternateContent>
      </w:r>
    </w:p>
    <w:p w14:paraId="6CB8ED13" w14:textId="77777777" w:rsidR="00064AB6" w:rsidRDefault="00064AB6" w:rsidP="00064AB6">
      <w:pPr>
        <w:spacing w:line="240" w:lineRule="auto"/>
        <w:ind w:right="1"/>
        <w:rPr>
          <w:rFonts w:ascii="Segoe UI" w:hAnsi="Segoe UI" w:cs="Segoe UI"/>
          <w:color w:val="000099"/>
          <w:sz w:val="32"/>
          <w:szCs w:val="32"/>
        </w:rPr>
      </w:pPr>
    </w:p>
    <w:p w14:paraId="0D6BD81C" w14:textId="36BECF1A" w:rsidR="00624C99" w:rsidRDefault="00000000">
      <w:pPr>
        <w:spacing w:line="240" w:lineRule="auto"/>
        <w:ind w:right="1"/>
        <w:jc w:val="center"/>
        <w:rPr>
          <w:rFonts w:ascii="Segoe UI" w:hAnsi="Segoe UI" w:cs="Segoe UI"/>
          <w:b/>
          <w:color w:val="000099"/>
          <w:sz w:val="32"/>
          <w:szCs w:val="32"/>
        </w:rPr>
      </w:pPr>
      <w:r>
        <w:rPr>
          <w:rFonts w:ascii="Segoe UI" w:hAnsi="Segoe UI" w:cs="Segoe UI"/>
          <w:b/>
          <w:color w:val="000099"/>
          <w:sz w:val="32"/>
          <w:szCs w:val="32"/>
        </w:rPr>
        <w:t>Les grands groupes sri-lankais : un capitalisme familial</w:t>
      </w:r>
      <w:r w:rsidR="000A6B6F">
        <w:rPr>
          <w:rFonts w:ascii="Segoe UI" w:hAnsi="Segoe UI" w:cs="Segoe UI"/>
          <w:b/>
          <w:color w:val="000099"/>
          <w:sz w:val="32"/>
          <w:szCs w:val="32"/>
        </w:rPr>
        <w:t xml:space="preserve"> et </w:t>
      </w:r>
      <w:r>
        <w:rPr>
          <w:rFonts w:ascii="Segoe UI" w:hAnsi="Segoe UI" w:cs="Segoe UI"/>
          <w:b/>
          <w:color w:val="000099"/>
          <w:sz w:val="32"/>
          <w:szCs w:val="32"/>
        </w:rPr>
        <w:t>un État actionnaire en réforme inachevée</w:t>
      </w:r>
    </w:p>
    <w:p w14:paraId="7D4E545A" w14:textId="5BE4E7CB" w:rsidR="00624C99" w:rsidRDefault="00000000">
      <w:pPr>
        <w:spacing w:before="120" w:line="240" w:lineRule="auto"/>
        <w:ind w:left="-283" w:right="-283"/>
        <w:jc w:val="both"/>
        <w:rPr>
          <w:rFonts w:ascii="Segoe UI" w:hAnsi="Segoe UI" w:cs="Segoe UI"/>
          <w:color w:val="000099"/>
          <w:sz w:val="20"/>
          <w:szCs w:val="20"/>
        </w:rPr>
      </w:pPr>
      <w:r>
        <w:rPr>
          <w:rFonts w:ascii="Segoe UI" w:hAnsi="Segoe UI" w:cs="Segoe UI"/>
          <w:color w:val="000099"/>
          <w:sz w:val="20"/>
          <w:szCs w:val="20"/>
        </w:rPr>
        <w:t xml:space="preserve">Contrairement à la plupart des économies émergentes d’Asie, les plus grands groupes sri-lankais sont majoritairement privés et presque tous contrôlés par des familles. Ils demeurent toutefois de taille modeste au regard des standards régionaux et peu internationalisés, à l’exception de quelques champions de la finance, du textile ou du thé. L’État conserve pour sa part les positions dominantes et stratégiques de l’économie – énergie, banque, ports, transport aérien – au travers d’environ 500 entités publiques. Leur réforme, exigée par le FMI après la crise de 2022, a été réorientée par le </w:t>
      </w:r>
      <w:r w:rsidR="00F14DE0" w:rsidRPr="00A12A21">
        <w:rPr>
          <w:rFonts w:ascii="Segoe UI" w:hAnsi="Segoe UI" w:cs="Segoe UI"/>
          <w:color w:val="000099"/>
          <w:sz w:val="20"/>
          <w:szCs w:val="20"/>
        </w:rPr>
        <w:t>nouveau gouvernement</w:t>
      </w:r>
      <w:r w:rsidR="00A12A21" w:rsidRPr="00A12A21">
        <w:rPr>
          <w:rStyle w:val="Appeldenotedefin"/>
          <w:rFonts w:ascii="Segoe UI" w:hAnsi="Segoe UI" w:cs="Segoe UI"/>
          <w:color w:val="000099"/>
          <w:sz w:val="20"/>
          <w:szCs w:val="20"/>
        </w:rPr>
        <w:endnoteReference w:id="1"/>
      </w:r>
      <w:r>
        <w:rPr>
          <w:rFonts w:ascii="Segoe UI" w:hAnsi="Segoe UI" w:cs="Segoe UI"/>
          <w:color w:val="000099"/>
          <w:sz w:val="20"/>
          <w:szCs w:val="20"/>
        </w:rPr>
        <w:t xml:space="preserve"> élu fin 2024 : les privatisations ont été suspendues au profit d’une restructuration par la gouvernance, aux résultats encore fragiles. </w:t>
      </w:r>
    </w:p>
    <w:p w14:paraId="41070B03" w14:textId="593C85B7" w:rsidR="00624C99" w:rsidRDefault="00B171AD">
      <w:pPr>
        <w:pStyle w:val="Titre2"/>
        <w:rPr>
          <w:rFonts w:ascii="Segoe UI" w:eastAsiaTheme="minorHAnsi" w:hAnsi="Segoe UI" w:cs="Segoe UI"/>
          <w:color w:val="000099"/>
          <w:sz w:val="22"/>
          <w:szCs w:val="22"/>
          <w:lang w:eastAsia="en-US"/>
        </w:rPr>
      </w:pPr>
      <w:r>
        <w:rPr>
          <w:rFonts w:ascii="Segoe UI" w:eastAsiaTheme="minorHAnsi" w:hAnsi="Segoe UI" w:cs="Segoe UI"/>
          <w:color w:val="000099"/>
          <w:sz w:val="22"/>
          <w:szCs w:val="22"/>
          <w:lang w:eastAsia="en-US"/>
        </w:rPr>
        <w:t>Les grands groupes sont majoritairement privés et familiaux, de taille modeste, et dont l’internationalisation demeure l’exception</w:t>
      </w:r>
    </w:p>
    <w:p w14:paraId="463E57EB" w14:textId="7B1841D6" w:rsidR="00624C99" w:rsidRDefault="00000000">
      <w:pPr>
        <w:spacing w:before="120" w:line="240" w:lineRule="auto"/>
        <w:ind w:left="-283" w:right="-283"/>
        <w:jc w:val="both"/>
      </w:pPr>
      <w:r>
        <w:rPr>
          <w:b/>
          <w:bCs/>
        </w:rPr>
        <w:t>Le secteur privé domine le haut du classement des entreprises sri-lankaises, mais ses « grands » groupes restent modestes au regard des standards régionaux.</w:t>
      </w:r>
      <w:r>
        <w:t xml:space="preserve"> Les 100 premières sociétés cotées (classement LMD 100</w:t>
      </w:r>
      <w:r>
        <w:rPr>
          <w:rStyle w:val="Appeldenotedefin"/>
        </w:rPr>
        <w:endnoteReference w:id="2"/>
      </w:r>
      <w:r>
        <w:t>, équivalent local du Fortune 500) ont dégagé en 2024/25 un chiffre d’affaires cumulé de 7 276 Mds LKR (24 Mds USD</w:t>
      </w:r>
      <w:r w:rsidR="001B7146">
        <w:rPr>
          <w:rStyle w:val="Appeldenotedefin"/>
        </w:rPr>
        <w:endnoteReference w:id="3"/>
      </w:r>
      <w:r>
        <w:t xml:space="preserve">), soit près d’un quart du PIB, et un bénéfice net de 751 Mds LKR. Sept d’entre elles seulement demeurent déficitaires. Le premier groupe coté, </w:t>
      </w:r>
      <w:proofErr w:type="spellStart"/>
      <w:r>
        <w:t>Hayleys</w:t>
      </w:r>
      <w:proofErr w:type="spellEnd"/>
      <w:r>
        <w:t>, conglomérat exportateur présent dans 16 secteurs (</w:t>
      </w:r>
      <w:r w:rsidR="009B2F32">
        <w:t>textile</w:t>
      </w:r>
      <w:r>
        <w:t>, charbon actif de coco, agriculture, logistique), a réalisé un chiffre d’affaires record de 492 Mds LKR (1,6 Md USD), dont 53 % à l’exportation. Suivent LOLC (finance, 340 Mds LKR</w:t>
      </w:r>
      <w:r w:rsidR="009B2F32">
        <w:t>, soit 1</w:t>
      </w:r>
      <w:r w:rsidR="001B7146">
        <w:t>,1</w:t>
      </w:r>
      <w:r w:rsidR="009B2F32">
        <w:t xml:space="preserve"> Md USD</w:t>
      </w:r>
      <w:r>
        <w:t xml:space="preserve">), Carson </w:t>
      </w:r>
      <w:proofErr w:type="spellStart"/>
      <w:r>
        <w:t>Cumberbatch</w:t>
      </w:r>
      <w:proofErr w:type="spellEnd"/>
      <w:r>
        <w:t xml:space="preserve"> et sa société-mère </w:t>
      </w:r>
      <w:proofErr w:type="spellStart"/>
      <w:r>
        <w:t>Bukit</w:t>
      </w:r>
      <w:proofErr w:type="spellEnd"/>
      <w:r>
        <w:t xml:space="preserve"> </w:t>
      </w:r>
      <w:proofErr w:type="spellStart"/>
      <w:r>
        <w:t>Darah</w:t>
      </w:r>
      <w:proofErr w:type="spellEnd"/>
      <w:r>
        <w:t xml:space="preserve"> (agro-industrie, 323 Mds LKR</w:t>
      </w:r>
      <w:r w:rsidR="009B2F32">
        <w:t xml:space="preserve">, soit </w:t>
      </w:r>
      <w:r w:rsidR="001B7146">
        <w:t>1,1</w:t>
      </w:r>
      <w:r w:rsidR="009B2F32">
        <w:t xml:space="preserve"> M</w:t>
      </w:r>
      <w:r w:rsidR="001B7146">
        <w:t>d</w:t>
      </w:r>
      <w:r w:rsidR="009B2F32">
        <w:t xml:space="preserve"> USD</w:t>
      </w:r>
      <w:r>
        <w:t xml:space="preserve">), John </w:t>
      </w:r>
      <w:proofErr w:type="spellStart"/>
      <w:r>
        <w:t>Keells</w:t>
      </w:r>
      <w:proofErr w:type="spellEnd"/>
      <w:r>
        <w:t xml:space="preserve"> Holdings (JKH) et Lanka IOC. Seuls 21 groupes dépassent toutefois 100 Mds LKR (330 M USD) de chiffre d’affaires et le premier d’entre eux réalise un chiffre d’affaires près de 70 fois inférieur à celui du premier groupe coté indien</w:t>
      </w:r>
      <w:r>
        <w:rPr>
          <w:rStyle w:val="Appeldenotedefin"/>
        </w:rPr>
        <w:endnoteReference w:id="4"/>
      </w:r>
      <w:r>
        <w:t>. Les banques et holdings financières concentrent par ailleurs l’essentiel des profits : Commercial Bank, Browns Investments (groupe LOLC) et Hatton National Bank forment le podium de la rentabilité en 2024/25</w:t>
      </w:r>
      <w:r w:rsidR="009B2F32">
        <w:t xml:space="preserve"> avec des profits dépassant les 45 Md LKR (1</w:t>
      </w:r>
      <w:r w:rsidR="001B7146">
        <w:t>50</w:t>
      </w:r>
      <w:r w:rsidR="009B2F32">
        <w:t xml:space="preserve"> M USD).</w:t>
      </w:r>
    </w:p>
    <w:p w14:paraId="33610F40" w14:textId="3693B301" w:rsidR="00624C99" w:rsidRDefault="009B2F32" w:rsidP="00F06280">
      <w:pPr>
        <w:spacing w:before="120" w:line="240" w:lineRule="auto"/>
        <w:ind w:left="-283" w:right="-283"/>
        <w:jc w:val="both"/>
      </w:pPr>
      <w:r w:rsidRPr="009B2F32">
        <w:rPr>
          <w:b/>
          <w:bCs/>
        </w:rPr>
        <w:t>Le capitalisme sri-lankais demeure largement familial et concentré à Colombo, tout en restant ouvert aux capitaux étrangers.</w:t>
      </w:r>
      <w:r>
        <w:rPr>
          <w:b/>
          <w:bCs/>
        </w:rPr>
        <w:t xml:space="preserve"> </w:t>
      </w:r>
      <w:r>
        <w:t xml:space="preserve">La quasi-totalité des grands groupes privés </w:t>
      </w:r>
      <w:r w:rsidR="00D148CC">
        <w:t>reste</w:t>
      </w:r>
      <w:r>
        <w:t xml:space="preserve"> contrôlée par des familles fondatrices ou des investisseurs individuels : </w:t>
      </w:r>
      <w:proofErr w:type="spellStart"/>
      <w:r>
        <w:t>Dhammika</w:t>
      </w:r>
      <w:proofErr w:type="spellEnd"/>
      <w:r>
        <w:t xml:space="preserve"> </w:t>
      </w:r>
      <w:proofErr w:type="spellStart"/>
      <w:r>
        <w:t>Perera</w:t>
      </w:r>
      <w:proofErr w:type="spellEnd"/>
      <w:r>
        <w:t xml:space="preserve"> (</w:t>
      </w:r>
      <w:proofErr w:type="spellStart"/>
      <w:r>
        <w:t>Vallibel</w:t>
      </w:r>
      <w:proofErr w:type="spellEnd"/>
      <w:r>
        <w:t xml:space="preserve"> One, premier actionnaire de </w:t>
      </w:r>
      <w:proofErr w:type="spellStart"/>
      <w:r>
        <w:t>Hayleys</w:t>
      </w:r>
      <w:proofErr w:type="spellEnd"/>
      <w:r>
        <w:t xml:space="preserve">), </w:t>
      </w:r>
      <w:proofErr w:type="spellStart"/>
      <w:r>
        <w:t>Ishara</w:t>
      </w:r>
      <w:proofErr w:type="spellEnd"/>
      <w:r>
        <w:t xml:space="preserve"> </w:t>
      </w:r>
      <w:proofErr w:type="spellStart"/>
      <w:r>
        <w:t>Nanayakkara</w:t>
      </w:r>
      <w:proofErr w:type="spellEnd"/>
      <w:r>
        <w:t xml:space="preserve"> (LOLC), devenu la première fortune du pays (1,6 Md USD</w:t>
      </w:r>
      <w:r>
        <w:rPr>
          <w:rStyle w:val="Appeldenotedefin"/>
        </w:rPr>
        <w:endnoteReference w:id="5"/>
      </w:r>
      <w:r>
        <w:t xml:space="preserve">), ou encore les familles </w:t>
      </w:r>
      <w:proofErr w:type="spellStart"/>
      <w:r>
        <w:t>Selvanathan</w:t>
      </w:r>
      <w:proofErr w:type="spellEnd"/>
      <w:r>
        <w:t xml:space="preserve"> (Carson </w:t>
      </w:r>
      <w:proofErr w:type="spellStart"/>
      <w:r>
        <w:t>Cumberbatch</w:t>
      </w:r>
      <w:proofErr w:type="spellEnd"/>
      <w:r>
        <w:t>), Page (CT Holdings/</w:t>
      </w:r>
      <w:proofErr w:type="spellStart"/>
      <w:r>
        <w:t>Cargills</w:t>
      </w:r>
      <w:proofErr w:type="spellEnd"/>
      <w:r>
        <w:t xml:space="preserve">), </w:t>
      </w:r>
      <w:proofErr w:type="spellStart"/>
      <w:r>
        <w:t>Jayawardena</w:t>
      </w:r>
      <w:proofErr w:type="spellEnd"/>
      <w:r>
        <w:t xml:space="preserve"> (</w:t>
      </w:r>
      <w:proofErr w:type="spellStart"/>
      <w:r>
        <w:t>Melstacorp</w:t>
      </w:r>
      <w:proofErr w:type="spellEnd"/>
      <w:r>
        <w:t>) et Fernando (</w:t>
      </w:r>
      <w:proofErr w:type="spellStart"/>
      <w:r>
        <w:t>Dilmah</w:t>
      </w:r>
      <w:proofErr w:type="spellEnd"/>
      <w:r>
        <w:t>). Les premiers exportateurs du pays, les groupes d’habillement MAS Holdings (</w:t>
      </w:r>
      <w:r w:rsidR="00020080">
        <w:t xml:space="preserve">environ </w:t>
      </w:r>
      <w:r>
        <w:t xml:space="preserve">2 Md USD de chiffre d’affaires), </w:t>
      </w:r>
      <w:proofErr w:type="spellStart"/>
      <w:r>
        <w:t>Brandix</w:t>
      </w:r>
      <w:proofErr w:type="spellEnd"/>
      <w:r>
        <w:t xml:space="preserve"> et </w:t>
      </w:r>
      <w:proofErr w:type="spellStart"/>
      <w:r>
        <w:t>Hirdaramani</w:t>
      </w:r>
      <w:proofErr w:type="spellEnd"/>
      <w:r>
        <w:t>, ne sont pas cotés</w:t>
      </w:r>
      <w:r w:rsidRPr="00823667">
        <w:rPr>
          <w:b/>
          <w:bCs/>
        </w:rPr>
        <w:t>. Les capitaux étrangers contrôlent plusieurs grands groupes</w:t>
      </w:r>
      <w:r>
        <w:t xml:space="preserve">, à l’image de </w:t>
      </w:r>
      <w:proofErr w:type="spellStart"/>
      <w:r>
        <w:t>Dialog</w:t>
      </w:r>
      <w:proofErr w:type="spellEnd"/>
      <w:r>
        <w:t xml:space="preserve"> </w:t>
      </w:r>
      <w:proofErr w:type="spellStart"/>
      <w:r>
        <w:t>Axiata</w:t>
      </w:r>
      <w:proofErr w:type="spellEnd"/>
      <w:r>
        <w:t xml:space="preserve"> (télécoms, Malaisie), de Lanka IOC (</w:t>
      </w:r>
      <w:proofErr w:type="spellStart"/>
      <w:r>
        <w:t>Indian</w:t>
      </w:r>
      <w:proofErr w:type="spellEnd"/>
      <w:r>
        <w:t xml:space="preserve"> </w:t>
      </w:r>
      <w:proofErr w:type="spellStart"/>
      <w:r>
        <w:t>Oil</w:t>
      </w:r>
      <w:proofErr w:type="spellEnd"/>
      <w:r>
        <w:t xml:space="preserve">, Inde) ou de </w:t>
      </w:r>
      <w:proofErr w:type="spellStart"/>
      <w:r>
        <w:t>Ceylon</w:t>
      </w:r>
      <w:proofErr w:type="spellEnd"/>
      <w:r>
        <w:t xml:space="preserve"> Tobacco (British American Tobacco</w:t>
      </w:r>
      <w:r w:rsidR="00823667">
        <w:t>, Royaume Uni</w:t>
      </w:r>
      <w:r>
        <w:t xml:space="preserve">). Le logisticien </w:t>
      </w:r>
      <w:proofErr w:type="spellStart"/>
      <w:r>
        <w:t>Expolanka</w:t>
      </w:r>
      <w:proofErr w:type="spellEnd"/>
      <w:r>
        <w:t xml:space="preserve"> a quant à lui été retiré de la cote en 2024 par le japonais SG Holdings</w:t>
      </w:r>
      <w:r>
        <w:rPr>
          <w:rStyle w:val="Appeldenotedefin"/>
        </w:rPr>
        <w:endnoteReference w:id="6"/>
      </w:r>
      <w:r>
        <w:t xml:space="preserve">. </w:t>
      </w:r>
      <w:r>
        <w:rPr>
          <w:b/>
          <w:bCs/>
        </w:rPr>
        <w:t>Une poignée de groupes seulement s’est internationalisée, avec quelques réussites notables.</w:t>
      </w:r>
      <w:r>
        <w:t xml:space="preserve"> LOLC s’est imposé comme la première multinationale sri-lankaise</w:t>
      </w:r>
      <w:r w:rsidR="00A24743">
        <w:rPr>
          <w:rStyle w:val="Appeldenotedefin"/>
        </w:rPr>
        <w:endnoteReference w:id="7"/>
      </w:r>
      <w:r>
        <w:t xml:space="preserve">. Présent dans 27 pays sur trois continents, le groupe se revendique première plateforme mondiale de financement </w:t>
      </w:r>
      <w:r w:rsidR="00F06280">
        <w:t>des micros</w:t>
      </w:r>
      <w:r>
        <w:t>, petites et moyennes entreprises. Les groupes d’habillement</w:t>
      </w:r>
      <w:r w:rsidR="00D148CC">
        <w:rPr>
          <w:rStyle w:val="Appeldenotedefin"/>
        </w:rPr>
        <w:endnoteReference w:id="8"/>
      </w:r>
      <w:r>
        <w:t xml:space="preserve"> opèrent des usines en Inde, au Bangladesh, au Vietnam ou en Éthiopie pour les grandes marques internationales (Nike, </w:t>
      </w:r>
      <w:proofErr w:type="spellStart"/>
      <w:r>
        <w:t>Victoria’s</w:t>
      </w:r>
      <w:proofErr w:type="spellEnd"/>
      <w:r>
        <w:t xml:space="preserve"> Secret, Decathlon). </w:t>
      </w:r>
      <w:proofErr w:type="spellStart"/>
      <w:r>
        <w:t>Dilmah</w:t>
      </w:r>
      <w:proofErr w:type="spellEnd"/>
      <w:r>
        <w:t xml:space="preserve"> distribue son </w:t>
      </w:r>
      <w:r>
        <w:lastRenderedPageBreak/>
        <w:t xml:space="preserve">thé dans une centaine de marchés. Aitken Spence exploite des hôtels aux Maldives, à Oman et en Inde. À l’inverse, JKH, longtemps première capitalisation boursière du pays, demeure essentiellement domestique – sa chaîne hôtelière </w:t>
      </w:r>
      <w:proofErr w:type="spellStart"/>
      <w:r>
        <w:t>Cinnamon</w:t>
      </w:r>
      <w:proofErr w:type="spellEnd"/>
      <w:r>
        <w:t xml:space="preserve"> exploitant toutefois plusieurs </w:t>
      </w:r>
      <w:proofErr w:type="spellStart"/>
      <w:r>
        <w:t>resorts</w:t>
      </w:r>
      <w:proofErr w:type="spellEnd"/>
      <w:r>
        <w:t xml:space="preserve"> aux Maldives – et concentre désormais ses investissements sur le tourisme et l’immobilier à Colombo.</w:t>
      </w:r>
    </w:p>
    <w:p w14:paraId="6478C252" w14:textId="77777777" w:rsidR="00B171AD" w:rsidRDefault="00B171AD">
      <w:pPr>
        <w:spacing w:before="120" w:line="240" w:lineRule="auto"/>
        <w:ind w:left="-283" w:right="-283"/>
        <w:jc w:val="both"/>
        <w:rPr>
          <w:rFonts w:ascii="Segoe UI" w:hAnsi="Segoe UI" w:cs="Segoe UI"/>
          <w:b/>
          <w:bCs/>
          <w:color w:val="000099"/>
        </w:rPr>
      </w:pPr>
      <w:r w:rsidRPr="00B171AD">
        <w:rPr>
          <w:rFonts w:ascii="Segoe UI" w:hAnsi="Segoe UI" w:cs="Segoe UI"/>
          <w:b/>
          <w:bCs/>
          <w:color w:val="000099"/>
        </w:rPr>
        <w:t>L'État reste un actionnaire omniprésent dans les secteurs stratégiques, et la réforme de ses entreprises publiques a été recentrée sur la seule gouvernance</w:t>
      </w:r>
    </w:p>
    <w:p w14:paraId="7303A90A" w14:textId="57299A98" w:rsidR="00624C99" w:rsidRDefault="00000000">
      <w:pPr>
        <w:spacing w:before="120" w:line="240" w:lineRule="auto"/>
        <w:ind w:left="-283" w:right="-283"/>
        <w:jc w:val="both"/>
      </w:pPr>
      <w:r>
        <w:rPr>
          <w:b/>
          <w:bCs/>
        </w:rPr>
        <w:t>L’État conserve, via quelque 500 entités publiques dont 52 « majeures » suivies par le Trésor sri-lankais</w:t>
      </w:r>
      <w:r>
        <w:rPr>
          <w:rStyle w:val="Appeldenotedefin"/>
          <w:b/>
          <w:bCs/>
        </w:rPr>
        <w:endnoteReference w:id="9"/>
      </w:r>
      <w:r>
        <w:rPr>
          <w:b/>
          <w:bCs/>
        </w:rPr>
        <w:t>, des positions dominantes, voire monopolistiques, dans l’énergie, la banque et les transports.</w:t>
      </w:r>
      <w:r>
        <w:t xml:space="preserve"> La première entreprise du pays par le chiffre d’affaires demeure la </w:t>
      </w:r>
      <w:proofErr w:type="spellStart"/>
      <w:r>
        <w:t>Ceylon</w:t>
      </w:r>
      <w:proofErr w:type="spellEnd"/>
      <w:r>
        <w:t xml:space="preserve"> Petroleum Corporation (CPC, 929 Mds LKR en 2024, soit 3,1 Mds USD</w:t>
      </w:r>
      <w:r>
        <w:rPr>
          <w:rStyle w:val="Appeldenotedefin"/>
        </w:rPr>
        <w:endnoteReference w:id="10"/>
      </w:r>
      <w:r>
        <w:t xml:space="preserve">). Elle devance le monopole électrique </w:t>
      </w:r>
      <w:proofErr w:type="spellStart"/>
      <w:r>
        <w:t>Ceylon</w:t>
      </w:r>
      <w:proofErr w:type="spellEnd"/>
      <w:r>
        <w:t xml:space="preserve"> </w:t>
      </w:r>
      <w:proofErr w:type="spellStart"/>
      <w:r>
        <w:t>Electricity</w:t>
      </w:r>
      <w:proofErr w:type="spellEnd"/>
      <w:r>
        <w:t xml:space="preserve"> </w:t>
      </w:r>
      <w:proofErr w:type="spellStart"/>
      <w:r>
        <w:t>Board</w:t>
      </w:r>
      <w:proofErr w:type="spellEnd"/>
      <w:r>
        <w:t xml:space="preserve"> (CEB). Le premier distributeur de GPL du pays, </w:t>
      </w:r>
      <w:proofErr w:type="spellStart"/>
      <w:r>
        <w:t>Litro</w:t>
      </w:r>
      <w:proofErr w:type="spellEnd"/>
      <w:r>
        <w:t xml:space="preserve"> Gas, est pour sa part une filiale de l’assureur public Sri Lanka </w:t>
      </w:r>
      <w:proofErr w:type="spellStart"/>
      <w:r>
        <w:t>Insurance</w:t>
      </w:r>
      <w:proofErr w:type="spellEnd"/>
      <w:r>
        <w:t xml:space="preserve"> Corporation (SLIC). Les deux premières banques du pays (Bank of </w:t>
      </w:r>
      <w:proofErr w:type="spellStart"/>
      <w:r>
        <w:t>Ceylon</w:t>
      </w:r>
      <w:proofErr w:type="spellEnd"/>
      <w:r>
        <w:t xml:space="preserve">, </w:t>
      </w:r>
      <w:proofErr w:type="spellStart"/>
      <w:r>
        <w:t>People’s</w:t>
      </w:r>
      <w:proofErr w:type="spellEnd"/>
      <w:r>
        <w:t xml:space="preserve"> Bank) sont publiques. Il en va de même de la première compagnie d’assurance (SLIC), des ports (SLPA), des aéroports (AASL), de l’eau (NWSDB) et de la compagnie aérienne nationale </w:t>
      </w:r>
      <w:proofErr w:type="spellStart"/>
      <w:r>
        <w:t>SriLankan</w:t>
      </w:r>
      <w:proofErr w:type="spellEnd"/>
      <w:r>
        <w:t xml:space="preserve"> Airlines. </w:t>
      </w:r>
      <w:r w:rsidRPr="00D148CC">
        <w:t>Signe d’ouverture</w:t>
      </w:r>
      <w:r>
        <w:t xml:space="preserve">, la distribution de carburants, longtemps organisée en duopole entre la CPC et Lanka IOC, </w:t>
      </w:r>
      <w:r w:rsidR="007140CC">
        <w:t>est néanmoins désormais accessible</w:t>
      </w:r>
      <w:r w:rsidR="00A24743" w:rsidRPr="00A24743">
        <w:t xml:space="preserve"> à des opérateurs étrangers</w:t>
      </w:r>
      <w:r w:rsidR="00A24743">
        <w:rPr>
          <w:rStyle w:val="Appeldenotedefin"/>
        </w:rPr>
        <w:endnoteReference w:id="11"/>
      </w:r>
      <w:r w:rsidR="00A24743" w:rsidRPr="00A24743">
        <w:t xml:space="preserve"> en 2023-2024</w:t>
      </w:r>
      <w:r w:rsidR="00A24743">
        <w:t xml:space="preserve">. </w:t>
      </w:r>
      <w:r w:rsidR="00F20BBB" w:rsidRPr="00F20BBB">
        <w:t xml:space="preserve">Les ports et l'énergie concentrent par ailleurs des investissements étrangers concurrents. La Chine y est présente de longue date (port de </w:t>
      </w:r>
      <w:proofErr w:type="spellStart"/>
      <w:r w:rsidR="00F20BBB" w:rsidRPr="00F20BBB">
        <w:t>Hambantota</w:t>
      </w:r>
      <w:proofErr w:type="spellEnd"/>
      <w:r w:rsidR="00F20BBB" w:rsidRPr="00F20BBB">
        <w:t xml:space="preserve">, Colombo Port City), l'Inde plus récemment via le groupe </w:t>
      </w:r>
      <w:proofErr w:type="spellStart"/>
      <w:r w:rsidR="00F20BBB" w:rsidRPr="00F20BBB">
        <w:t>Adani</w:t>
      </w:r>
      <w:proofErr w:type="spellEnd"/>
      <w:r w:rsidR="00F20BBB" w:rsidRPr="00F20BBB">
        <w:t>, associé à JKH sur l'un des nouveaux terminaux à conteneurs de Colombo, entré en service en 2025.</w:t>
      </w:r>
      <w:r w:rsidR="00945251">
        <w:t xml:space="preserve"> </w:t>
      </w:r>
      <w:r w:rsidR="00671A75" w:rsidRPr="00671A75">
        <w:t>Le contrôle de ces infrastructures, partagé entre acteurs publics et capitaux étrangers concurrents, ajoute une dimension géopolitique à la gestion du périmètre public.</w:t>
      </w:r>
      <w:r w:rsidR="00671A75">
        <w:t xml:space="preserve"> </w:t>
      </w:r>
      <w:r w:rsidR="004228E0" w:rsidRPr="004228E0">
        <w:t xml:space="preserve">Dans ce paysage dominé par les capitaux asiatiques, la présence européenne reste plus modeste. La France, premier investisseur de l'Union européenne (stock estimé à </w:t>
      </w:r>
      <w:r w:rsidR="007140CC">
        <w:t>609</w:t>
      </w:r>
      <w:r w:rsidR="004228E0" w:rsidRPr="004228E0">
        <w:t xml:space="preserve"> M USD fin 202</w:t>
      </w:r>
      <w:r w:rsidR="007140CC">
        <w:t>5</w:t>
      </w:r>
      <w:r w:rsidR="004228E0" w:rsidRPr="004228E0">
        <w:t>), s'appuie sur quelques groupes implantés de longue date : Michelin</w:t>
      </w:r>
      <w:r w:rsidR="004228E0">
        <w:rPr>
          <w:rStyle w:val="Appeldenotedefin"/>
        </w:rPr>
        <w:endnoteReference w:id="12"/>
      </w:r>
      <w:r w:rsidR="004228E0" w:rsidRPr="004228E0">
        <w:t>, CMA CGM (troisième contributeur du port de Colombo), Bureau Veritas, Decathlon et Publicis.</w:t>
      </w:r>
    </w:p>
    <w:p w14:paraId="6E78D95E" w14:textId="79A67153" w:rsidR="00624C99" w:rsidRDefault="00000000">
      <w:pPr>
        <w:spacing w:before="120" w:line="240" w:lineRule="auto"/>
        <w:ind w:left="-283" w:right="-283"/>
        <w:jc w:val="both"/>
      </w:pPr>
      <w:r>
        <w:rPr>
          <w:b/>
          <w:bCs/>
        </w:rPr>
        <w:t>Le redressement financier des entreprises publiques, spectaculaire après les pertes record de 2022, demeure fragile et repose largement sur des positions de rente.</w:t>
      </w:r>
      <w:r>
        <w:t xml:space="preserve"> Après une perte cumulée de 744,7 Mds LKR en 2022</w:t>
      </w:r>
      <w:r w:rsidR="00A7166C">
        <w:t xml:space="preserve"> (</w:t>
      </w:r>
      <w:r w:rsidR="0014377A">
        <w:t>2,5 Md USD)</w:t>
      </w:r>
      <w:r>
        <w:t>, au plus fort de la crise, les 52 principales entreprises publiques ont dégagé 280,7 Mds LKR</w:t>
      </w:r>
      <w:r w:rsidR="0014377A">
        <w:t xml:space="preserve"> (940 M USD)</w:t>
      </w:r>
      <w:r>
        <w:t xml:space="preserve"> de bénéfices au premier semestre 2024, mais 227,8 Mds LKR </w:t>
      </w:r>
      <w:r w:rsidR="0014377A">
        <w:t xml:space="preserve">(760 M USD) </w:t>
      </w:r>
      <w:r>
        <w:t>seulement un an plus tard. Dix-huit d’entre elles demeurent déficitaires</w:t>
      </w:r>
      <w:r>
        <w:rPr>
          <w:rStyle w:val="Appeldenotedefin"/>
        </w:rPr>
        <w:endnoteReference w:id="13"/>
      </w:r>
      <w:r>
        <w:t xml:space="preserve">. </w:t>
      </w:r>
      <w:proofErr w:type="gramStart"/>
      <w:r w:rsidR="00BF13CA" w:rsidRPr="00BF13CA">
        <w:t>La CEB</w:t>
      </w:r>
      <w:proofErr w:type="gramEnd"/>
      <w:r w:rsidR="00BF13CA" w:rsidRPr="00BF13CA">
        <w:t xml:space="preserve"> illustre cette fragilité. Redevenue </w:t>
      </w:r>
      <w:r w:rsidR="007140CC">
        <w:t xml:space="preserve">fortement </w:t>
      </w:r>
      <w:r w:rsidR="00BF13CA" w:rsidRPr="00BF13CA">
        <w:t xml:space="preserve">bénéficiaire en 2024 (+141,6 Mds LKR, soit 470 M USD) grâce à une tarification reflétant </w:t>
      </w:r>
      <w:proofErr w:type="gramStart"/>
      <w:r w:rsidR="00BF13CA" w:rsidRPr="00BF13CA">
        <w:t>les coûts exigée</w:t>
      </w:r>
      <w:proofErr w:type="gramEnd"/>
      <w:r w:rsidR="00BF13CA" w:rsidRPr="00BF13CA">
        <w:t xml:space="preserve"> par le FMI, elle est redevenue déficitaire (–38,7 Mds LKR, soit –130 M USD) après les baisses de tarifs décidées début 2025.</w:t>
      </w:r>
      <w:r w:rsidR="00BF13CA">
        <w:t xml:space="preserve"> </w:t>
      </w:r>
      <w:proofErr w:type="spellStart"/>
      <w:r>
        <w:t>SriLankan</w:t>
      </w:r>
      <w:proofErr w:type="spellEnd"/>
      <w:r>
        <w:t xml:space="preserve"> Airlines affiche toujours des fonds propres négatifs et près de 596 Mds LKR </w:t>
      </w:r>
      <w:r w:rsidR="0014377A">
        <w:t xml:space="preserve">(2 Md USD) </w:t>
      </w:r>
      <w:r>
        <w:t>de pertes accumulées</w:t>
      </w:r>
      <w:r>
        <w:rPr>
          <w:rStyle w:val="Appeldenotedefin"/>
        </w:rPr>
        <w:endnoteReference w:id="14"/>
      </w:r>
      <w:r>
        <w:t xml:space="preserve">. </w:t>
      </w:r>
      <w:r w:rsidR="007140CC">
        <w:t>L</w:t>
      </w:r>
      <w:r w:rsidR="00C76305" w:rsidRPr="00C76305">
        <w:t xml:space="preserve">es bénéfices des banques publiques et d'entreprises en situation de monopole (loteries, ports, eau) atténuent en partie ces pertes. </w:t>
      </w:r>
      <w:r w:rsidR="00F14DE0">
        <w:t>Le redressement</w:t>
      </w:r>
      <w:r w:rsidR="00C76305" w:rsidRPr="00C76305">
        <w:t xml:space="preserve"> repose largement sur des rentes de monopole plus que sur des gains d'efficience, s'avère volatil selon les décisions tarifaires, et plusieurs de ces entités ne demeurent bénéficiaires qu'après d'importantes injections de capital public.</w:t>
      </w:r>
    </w:p>
    <w:p w14:paraId="338E890C" w14:textId="3A058591" w:rsidR="00824994" w:rsidRDefault="00000000" w:rsidP="00824994">
      <w:pPr>
        <w:spacing w:before="120" w:line="240" w:lineRule="auto"/>
        <w:ind w:left="-283" w:right="-283"/>
        <w:jc w:val="both"/>
      </w:pPr>
      <w:r>
        <w:rPr>
          <w:b/>
          <w:bCs/>
        </w:rPr>
        <w:t>Pilier du programme FMI (mécanisme élargi de crédit – EFF – de 2,9 Md USD, 2023-2027), la réforme des entreprises publiques a été réorientée par le gouvernement NPP, qui a écarté toute privatisation.</w:t>
      </w:r>
      <w:r>
        <w:t xml:space="preserve"> Les cessions engagées par le gouvernement </w:t>
      </w:r>
      <w:proofErr w:type="spellStart"/>
      <w:r>
        <w:t>Wickremesinghe</w:t>
      </w:r>
      <w:proofErr w:type="spellEnd"/>
      <w:r>
        <w:t xml:space="preserve"> (</w:t>
      </w:r>
      <w:proofErr w:type="spellStart"/>
      <w:r>
        <w:t>SriLankan</w:t>
      </w:r>
      <w:proofErr w:type="spellEnd"/>
      <w:r>
        <w:t xml:space="preserve"> Airlines, Sri Lanka Telecom, Lanka </w:t>
      </w:r>
      <w:proofErr w:type="spellStart"/>
      <w:r>
        <w:t>Hospitals</w:t>
      </w:r>
      <w:proofErr w:type="spellEnd"/>
      <w:r>
        <w:t xml:space="preserve">, hôtels publics) ont été suspendues dès l’automne 2024 et l’unité de restructuration dédiée </w:t>
      </w:r>
      <w:r w:rsidRPr="004239AD">
        <w:t>(SOERU</w:t>
      </w:r>
      <w:r w:rsidR="004239AD">
        <w:rPr>
          <w:rStyle w:val="Appeldenotedefin"/>
        </w:rPr>
        <w:endnoteReference w:id="15"/>
      </w:r>
      <w:r w:rsidRPr="004239AD">
        <w:t>)</w:t>
      </w:r>
      <w:r>
        <w:t xml:space="preserve"> a été mise à l’arrêt. L’abandon de la privatisation de </w:t>
      </w:r>
      <w:proofErr w:type="spellStart"/>
      <w:r>
        <w:t>SriLankan</w:t>
      </w:r>
      <w:proofErr w:type="spellEnd"/>
      <w:r>
        <w:t xml:space="preserve"> Airlines, pour laquelle six offres avaient pourtant été reçues fin 2023, a été officialisé en avril 2025. Le transfert de l’aéroport de </w:t>
      </w:r>
      <w:proofErr w:type="spellStart"/>
      <w:r>
        <w:t>Mattala</w:t>
      </w:r>
      <w:proofErr w:type="spellEnd"/>
      <w:r>
        <w:t xml:space="preserve"> a également été gelé. Le gouvernement privilégie désormais une réforme par la gouvernance. Un projet de loi-cadre sur les entreprises commerciales publiques, </w:t>
      </w:r>
      <w:r w:rsidR="0021097F">
        <w:t>toujours en débat notamment avec les bailleurs</w:t>
      </w:r>
      <w:r>
        <w:t xml:space="preserve">, prévoit ainsi une holding de tête inspirée du modèle singapourien. </w:t>
      </w:r>
      <w:proofErr w:type="gramStart"/>
      <w:r w:rsidR="009C231B" w:rsidRPr="009C231B">
        <w:t>La CEB</w:t>
      </w:r>
      <w:proofErr w:type="gramEnd"/>
      <w:r w:rsidR="009C231B" w:rsidRPr="009C231B">
        <w:t xml:space="preserve"> a été scindée en six sociétés distinctes, séparant la production, le transport, la distribution et l'exploitation du système électrique</w:t>
      </w:r>
      <w:r>
        <w:t xml:space="preserve">. </w:t>
      </w:r>
      <w:r w:rsidR="0021097F">
        <w:t>Une partie de la dette</w:t>
      </w:r>
      <w:r>
        <w:t xml:space="preserve"> de </w:t>
      </w:r>
      <w:proofErr w:type="spellStart"/>
      <w:r>
        <w:t>SriLankan</w:t>
      </w:r>
      <w:proofErr w:type="spellEnd"/>
      <w:r>
        <w:t xml:space="preserve"> Airlines </w:t>
      </w:r>
      <w:r w:rsidR="000A6B6F">
        <w:t>a été restructurée en 2026</w:t>
      </w:r>
      <w:r>
        <w:t>, l’État ayant racheté avec une décote de 16 % l’obligation garantie de 175 M USD</w:t>
      </w:r>
      <w:r>
        <w:rPr>
          <w:rStyle w:val="Appeldenotedefin"/>
        </w:rPr>
        <w:endnoteReference w:id="16"/>
      </w:r>
      <w:r>
        <w:t>.</w:t>
      </w:r>
    </w:p>
    <w:p w14:paraId="79A6A868" w14:textId="685B0D02" w:rsidR="00624C99" w:rsidRDefault="00A12A21" w:rsidP="00824994">
      <w:pPr>
        <w:spacing w:before="120" w:line="240" w:lineRule="auto"/>
        <w:ind w:left="-283" w:right="-283"/>
        <w:jc w:val="both"/>
      </w:pPr>
      <w:r w:rsidRPr="00A12A21">
        <w:rPr>
          <w:rFonts w:ascii="Segoe UI" w:hAnsi="Segoe UI" w:cs="Segoe UI"/>
          <w:color w:val="000099"/>
          <w:sz w:val="20"/>
          <w:szCs w:val="20"/>
        </w:rPr>
        <w:t>À court terme, l'ouverture de l'économie devrait rester limitée : les privatisations sont gelées, l'État garde la main sur les secteurs stratégiques et les premières entrées d'opérateurs étrangers demeurent fragiles.</w:t>
      </w:r>
      <w:r>
        <w:rPr>
          <w:rFonts w:ascii="Segoe UI" w:hAnsi="Segoe UI" w:cs="Segoe UI"/>
          <w:color w:val="000099"/>
          <w:sz w:val="20"/>
          <w:szCs w:val="20"/>
        </w:rPr>
        <w:t xml:space="preserve"> </w:t>
      </w:r>
      <w:r w:rsidR="00824994" w:rsidRPr="00824994">
        <w:rPr>
          <w:rFonts w:ascii="Segoe UI" w:hAnsi="Segoe UI" w:cs="Segoe UI"/>
          <w:color w:val="000099"/>
          <w:sz w:val="20"/>
          <w:szCs w:val="20"/>
        </w:rPr>
        <w:t>À moyen terme, la trajectoire des grands groupes privés dépendra de leur capacité à prolonger l'élan de la sortie de crise, une fois dissipés les effets de change et de taux qui avaient soutenu leurs profits. Celle du secteur public reposera sur la réforme par la gouvernance engagée en lieu et place des privatisations</w:t>
      </w:r>
      <w:r w:rsidR="0058631D">
        <w:rPr>
          <w:rFonts w:ascii="Segoe UI" w:hAnsi="Segoe UI" w:cs="Segoe UI"/>
          <w:color w:val="000099"/>
          <w:sz w:val="20"/>
          <w:szCs w:val="20"/>
        </w:rPr>
        <w:t>. S</w:t>
      </w:r>
      <w:r w:rsidR="00824994" w:rsidRPr="00824994">
        <w:rPr>
          <w:rFonts w:ascii="Segoe UI" w:hAnsi="Segoe UI" w:cs="Segoe UI"/>
          <w:color w:val="000099"/>
          <w:sz w:val="20"/>
          <w:szCs w:val="20"/>
        </w:rPr>
        <w:t xml:space="preserve">a profitabilité récente, largement assise sur des positions de rente et sensible aux décisions tarifaires, demeure à consolider. </w:t>
      </w:r>
      <w:r w:rsidR="00824994">
        <w:br w:type="page"/>
      </w:r>
    </w:p>
    <w:p w14:paraId="09978E41" w14:textId="77777777" w:rsidR="00624C99" w:rsidRDefault="00000000">
      <w:pPr>
        <w:spacing w:before="120" w:after="120" w:line="240" w:lineRule="auto"/>
        <w:jc w:val="center"/>
        <w:rPr>
          <w:rFonts w:ascii="Segoe UI" w:hAnsi="Segoe UI" w:cs="Segoe UI"/>
          <w:b/>
          <w:color w:val="000099"/>
          <w:sz w:val="24"/>
        </w:rPr>
      </w:pPr>
      <w:r>
        <w:rPr>
          <w:rFonts w:ascii="Segoe UI" w:hAnsi="Segoe UI" w:cs="Segoe UI"/>
          <w:b/>
          <w:color w:val="000099"/>
          <w:sz w:val="24"/>
        </w:rPr>
        <w:lastRenderedPageBreak/>
        <w:t>ANNEXES</w:t>
      </w:r>
    </w:p>
    <w:p w14:paraId="1638F974" w14:textId="77777777" w:rsidR="00624C99" w:rsidRDefault="00000000">
      <w:pPr>
        <w:spacing w:before="200" w:after="80" w:line="240" w:lineRule="auto"/>
        <w:rPr>
          <w:rFonts w:ascii="Segoe UI" w:hAnsi="Segoe UI" w:cs="Segoe UI"/>
          <w:b/>
          <w:sz w:val="20"/>
        </w:rPr>
      </w:pPr>
      <w:r>
        <w:rPr>
          <w:rFonts w:ascii="Segoe UI" w:hAnsi="Segoe UI" w:cs="Segoe UI"/>
          <w:b/>
          <w:sz w:val="20"/>
        </w:rPr>
        <w:t>Annexe 1. Les dix premiers groupes cotés sri-lankais par chiffre d’affaires (exercice 2024/25)</w:t>
      </w:r>
    </w:p>
    <w:tbl>
      <w:tblPr>
        <w:tblW w:w="935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00"/>
        <w:gridCol w:w="3200"/>
        <w:gridCol w:w="3200"/>
        <w:gridCol w:w="2154"/>
      </w:tblGrid>
      <w:tr w:rsidR="00624C99" w14:paraId="014AD854" w14:textId="77777777">
        <w:tc>
          <w:tcPr>
            <w:tcW w:w="800" w:type="dxa"/>
            <w:shd w:val="clear" w:color="auto" w:fill="DCE6F1"/>
          </w:tcPr>
          <w:p w14:paraId="22C6A691" w14:textId="77777777" w:rsidR="00624C99" w:rsidRDefault="00000000">
            <w:pPr>
              <w:spacing w:before="20" w:after="20" w:line="240" w:lineRule="auto"/>
              <w:jc w:val="center"/>
              <w:rPr>
                <w:rFonts w:ascii="Segoe UI" w:hAnsi="Segoe UI" w:cs="Segoe UI"/>
                <w:b/>
                <w:sz w:val="16"/>
              </w:rPr>
            </w:pPr>
            <w:r>
              <w:rPr>
                <w:rFonts w:ascii="Segoe UI" w:hAnsi="Segoe UI" w:cs="Segoe UI"/>
                <w:b/>
                <w:sz w:val="16"/>
              </w:rPr>
              <w:t>Rang</w:t>
            </w:r>
          </w:p>
        </w:tc>
        <w:tc>
          <w:tcPr>
            <w:tcW w:w="3200" w:type="dxa"/>
            <w:shd w:val="clear" w:color="auto" w:fill="DCE6F1"/>
          </w:tcPr>
          <w:p w14:paraId="39F0D0D5" w14:textId="77777777" w:rsidR="00624C99" w:rsidRDefault="00000000">
            <w:pPr>
              <w:spacing w:before="20" w:after="20" w:line="240" w:lineRule="auto"/>
              <w:rPr>
                <w:rFonts w:ascii="Segoe UI" w:hAnsi="Segoe UI" w:cs="Segoe UI"/>
                <w:b/>
                <w:sz w:val="16"/>
              </w:rPr>
            </w:pPr>
            <w:r>
              <w:rPr>
                <w:rFonts w:ascii="Segoe UI" w:hAnsi="Segoe UI" w:cs="Segoe UI"/>
                <w:b/>
                <w:sz w:val="16"/>
              </w:rPr>
              <w:t>Groupe</w:t>
            </w:r>
          </w:p>
        </w:tc>
        <w:tc>
          <w:tcPr>
            <w:tcW w:w="3200" w:type="dxa"/>
            <w:shd w:val="clear" w:color="auto" w:fill="DCE6F1"/>
          </w:tcPr>
          <w:p w14:paraId="66885225" w14:textId="77777777" w:rsidR="00624C99" w:rsidRDefault="00000000">
            <w:pPr>
              <w:spacing w:before="20" w:after="20" w:line="240" w:lineRule="auto"/>
              <w:rPr>
                <w:rFonts w:ascii="Segoe UI" w:hAnsi="Segoe UI" w:cs="Segoe UI"/>
                <w:b/>
                <w:sz w:val="16"/>
              </w:rPr>
            </w:pPr>
            <w:r>
              <w:rPr>
                <w:rFonts w:ascii="Segoe UI" w:hAnsi="Segoe UI" w:cs="Segoe UI"/>
                <w:b/>
                <w:sz w:val="16"/>
              </w:rPr>
              <w:t>Secteur principal</w:t>
            </w:r>
          </w:p>
        </w:tc>
        <w:tc>
          <w:tcPr>
            <w:tcW w:w="2154" w:type="dxa"/>
            <w:shd w:val="clear" w:color="auto" w:fill="DCE6F1"/>
          </w:tcPr>
          <w:p w14:paraId="16C43C52" w14:textId="77777777" w:rsidR="00624C99" w:rsidRDefault="00000000">
            <w:pPr>
              <w:spacing w:before="20" w:after="20" w:line="240" w:lineRule="auto"/>
              <w:jc w:val="center"/>
              <w:rPr>
                <w:rFonts w:ascii="Segoe UI" w:hAnsi="Segoe UI" w:cs="Segoe UI"/>
                <w:b/>
                <w:sz w:val="16"/>
              </w:rPr>
            </w:pPr>
            <w:r>
              <w:rPr>
                <w:rFonts w:ascii="Segoe UI" w:hAnsi="Segoe UI" w:cs="Segoe UI"/>
                <w:b/>
                <w:sz w:val="16"/>
              </w:rPr>
              <w:t>CA 2024/25 (Mds LKR)</w:t>
            </w:r>
          </w:p>
        </w:tc>
      </w:tr>
      <w:tr w:rsidR="00624C99" w14:paraId="03213F69" w14:textId="77777777">
        <w:tc>
          <w:tcPr>
            <w:tcW w:w="800" w:type="dxa"/>
          </w:tcPr>
          <w:p w14:paraId="2F59CD62" w14:textId="77777777" w:rsidR="00624C99" w:rsidRDefault="00000000">
            <w:pPr>
              <w:spacing w:before="20" w:after="20" w:line="240" w:lineRule="auto"/>
              <w:jc w:val="center"/>
              <w:rPr>
                <w:rFonts w:ascii="Segoe UI" w:hAnsi="Segoe UI" w:cs="Segoe UI"/>
                <w:sz w:val="16"/>
              </w:rPr>
            </w:pPr>
            <w:r>
              <w:rPr>
                <w:rFonts w:ascii="Segoe UI" w:hAnsi="Segoe UI" w:cs="Segoe UI"/>
                <w:sz w:val="16"/>
              </w:rPr>
              <w:t>1</w:t>
            </w:r>
          </w:p>
        </w:tc>
        <w:tc>
          <w:tcPr>
            <w:tcW w:w="3200" w:type="dxa"/>
          </w:tcPr>
          <w:p w14:paraId="2328EB4A" w14:textId="77777777" w:rsidR="00624C99" w:rsidRDefault="00000000">
            <w:pPr>
              <w:spacing w:before="20" w:after="20" w:line="240" w:lineRule="auto"/>
              <w:rPr>
                <w:rFonts w:ascii="Segoe UI" w:hAnsi="Segoe UI" w:cs="Segoe UI"/>
                <w:sz w:val="16"/>
              </w:rPr>
            </w:pPr>
            <w:proofErr w:type="spellStart"/>
            <w:r>
              <w:rPr>
                <w:rFonts w:ascii="Segoe UI" w:hAnsi="Segoe UI" w:cs="Segoe UI"/>
                <w:sz w:val="16"/>
              </w:rPr>
              <w:t>Hayleys</w:t>
            </w:r>
            <w:proofErr w:type="spellEnd"/>
          </w:p>
        </w:tc>
        <w:tc>
          <w:tcPr>
            <w:tcW w:w="3200" w:type="dxa"/>
          </w:tcPr>
          <w:p w14:paraId="73D74E2F" w14:textId="77777777" w:rsidR="00624C99" w:rsidRDefault="00000000">
            <w:pPr>
              <w:spacing w:before="20" w:after="20" w:line="240" w:lineRule="auto"/>
              <w:rPr>
                <w:rFonts w:ascii="Segoe UI" w:hAnsi="Segoe UI" w:cs="Segoe UI"/>
                <w:sz w:val="16"/>
              </w:rPr>
            </w:pPr>
            <w:r>
              <w:rPr>
                <w:rFonts w:ascii="Segoe UI" w:hAnsi="Segoe UI" w:cs="Segoe UI"/>
                <w:sz w:val="16"/>
              </w:rPr>
              <w:t>Conglomérat exportateur (gants, charbon actif, agriculture, logistique)</w:t>
            </w:r>
          </w:p>
        </w:tc>
        <w:tc>
          <w:tcPr>
            <w:tcW w:w="2154" w:type="dxa"/>
          </w:tcPr>
          <w:p w14:paraId="25DF5088" w14:textId="77777777" w:rsidR="00624C99" w:rsidRDefault="00000000">
            <w:pPr>
              <w:spacing w:before="20" w:after="20" w:line="240" w:lineRule="auto"/>
              <w:jc w:val="center"/>
              <w:rPr>
                <w:rFonts w:ascii="Segoe UI" w:hAnsi="Segoe UI" w:cs="Segoe UI"/>
                <w:sz w:val="16"/>
              </w:rPr>
            </w:pPr>
            <w:r>
              <w:rPr>
                <w:rFonts w:ascii="Segoe UI" w:hAnsi="Segoe UI" w:cs="Segoe UI"/>
                <w:sz w:val="16"/>
              </w:rPr>
              <w:t>492</w:t>
            </w:r>
          </w:p>
        </w:tc>
      </w:tr>
      <w:tr w:rsidR="00624C99" w14:paraId="6996938B" w14:textId="77777777">
        <w:tc>
          <w:tcPr>
            <w:tcW w:w="800" w:type="dxa"/>
          </w:tcPr>
          <w:p w14:paraId="2D8A55FE" w14:textId="77777777" w:rsidR="00624C99" w:rsidRDefault="00000000">
            <w:pPr>
              <w:spacing w:before="20" w:after="20" w:line="240" w:lineRule="auto"/>
              <w:jc w:val="center"/>
              <w:rPr>
                <w:rFonts w:ascii="Segoe UI" w:hAnsi="Segoe UI" w:cs="Segoe UI"/>
                <w:sz w:val="16"/>
              </w:rPr>
            </w:pPr>
            <w:r>
              <w:rPr>
                <w:rFonts w:ascii="Segoe UI" w:hAnsi="Segoe UI" w:cs="Segoe UI"/>
                <w:sz w:val="16"/>
              </w:rPr>
              <w:t>2</w:t>
            </w:r>
          </w:p>
        </w:tc>
        <w:tc>
          <w:tcPr>
            <w:tcW w:w="3200" w:type="dxa"/>
          </w:tcPr>
          <w:p w14:paraId="2F11C99E" w14:textId="77777777" w:rsidR="00624C99" w:rsidRDefault="00000000">
            <w:pPr>
              <w:spacing w:before="20" w:after="20" w:line="240" w:lineRule="auto"/>
              <w:rPr>
                <w:rFonts w:ascii="Segoe UI" w:hAnsi="Segoe UI" w:cs="Segoe UI"/>
                <w:sz w:val="16"/>
              </w:rPr>
            </w:pPr>
            <w:r>
              <w:rPr>
                <w:rFonts w:ascii="Segoe UI" w:hAnsi="Segoe UI" w:cs="Segoe UI"/>
                <w:sz w:val="16"/>
              </w:rPr>
              <w:t>LOLC Holdings</w:t>
            </w:r>
          </w:p>
        </w:tc>
        <w:tc>
          <w:tcPr>
            <w:tcW w:w="3200" w:type="dxa"/>
          </w:tcPr>
          <w:p w14:paraId="587082CC" w14:textId="77777777" w:rsidR="00624C99" w:rsidRDefault="00000000">
            <w:pPr>
              <w:spacing w:before="20" w:after="20" w:line="240" w:lineRule="auto"/>
              <w:rPr>
                <w:rFonts w:ascii="Segoe UI" w:hAnsi="Segoe UI" w:cs="Segoe UI"/>
                <w:sz w:val="16"/>
              </w:rPr>
            </w:pPr>
            <w:r>
              <w:rPr>
                <w:rFonts w:ascii="Segoe UI" w:hAnsi="Segoe UI" w:cs="Segoe UI"/>
                <w:sz w:val="16"/>
              </w:rPr>
              <w:t>Finance diversifiée, microfinance</w:t>
            </w:r>
          </w:p>
        </w:tc>
        <w:tc>
          <w:tcPr>
            <w:tcW w:w="2154" w:type="dxa"/>
          </w:tcPr>
          <w:p w14:paraId="6F56A220" w14:textId="5B10D431" w:rsidR="00624C99" w:rsidRDefault="00000000">
            <w:pPr>
              <w:spacing w:before="20" w:after="20" w:line="240" w:lineRule="auto"/>
              <w:jc w:val="center"/>
              <w:rPr>
                <w:rFonts w:ascii="Segoe UI" w:hAnsi="Segoe UI" w:cs="Segoe UI"/>
                <w:sz w:val="16"/>
              </w:rPr>
            </w:pPr>
            <w:r>
              <w:rPr>
                <w:rFonts w:ascii="Segoe UI" w:hAnsi="Segoe UI" w:cs="Segoe UI"/>
                <w:sz w:val="16"/>
              </w:rPr>
              <w:t>340</w:t>
            </w:r>
          </w:p>
        </w:tc>
      </w:tr>
      <w:tr w:rsidR="00624C99" w14:paraId="4EDC3C78" w14:textId="77777777">
        <w:tc>
          <w:tcPr>
            <w:tcW w:w="800" w:type="dxa"/>
          </w:tcPr>
          <w:p w14:paraId="50A72751" w14:textId="77777777" w:rsidR="00624C99" w:rsidRDefault="00000000">
            <w:pPr>
              <w:spacing w:before="20" w:after="20" w:line="240" w:lineRule="auto"/>
              <w:jc w:val="center"/>
              <w:rPr>
                <w:rFonts w:ascii="Segoe UI" w:hAnsi="Segoe UI" w:cs="Segoe UI"/>
                <w:sz w:val="16"/>
              </w:rPr>
            </w:pPr>
            <w:r>
              <w:rPr>
                <w:rFonts w:ascii="Segoe UI" w:hAnsi="Segoe UI" w:cs="Segoe UI"/>
                <w:sz w:val="16"/>
              </w:rPr>
              <w:t>3</w:t>
            </w:r>
          </w:p>
        </w:tc>
        <w:tc>
          <w:tcPr>
            <w:tcW w:w="3200" w:type="dxa"/>
          </w:tcPr>
          <w:p w14:paraId="379C36E0" w14:textId="77777777" w:rsidR="00624C99" w:rsidRDefault="00000000">
            <w:pPr>
              <w:spacing w:before="20" w:after="20" w:line="240" w:lineRule="auto"/>
              <w:rPr>
                <w:rFonts w:ascii="Segoe UI" w:hAnsi="Segoe UI" w:cs="Segoe UI"/>
                <w:sz w:val="16"/>
              </w:rPr>
            </w:pPr>
            <w:r>
              <w:rPr>
                <w:rFonts w:ascii="Segoe UI" w:hAnsi="Segoe UI" w:cs="Segoe UI"/>
                <w:sz w:val="16"/>
              </w:rPr>
              <w:t xml:space="preserve">Carson </w:t>
            </w:r>
            <w:proofErr w:type="spellStart"/>
            <w:r>
              <w:rPr>
                <w:rFonts w:ascii="Segoe UI" w:hAnsi="Segoe UI" w:cs="Segoe UI"/>
                <w:sz w:val="16"/>
              </w:rPr>
              <w:t>Cumberbatch</w:t>
            </w:r>
            <w:proofErr w:type="spellEnd"/>
          </w:p>
        </w:tc>
        <w:tc>
          <w:tcPr>
            <w:tcW w:w="3200" w:type="dxa"/>
          </w:tcPr>
          <w:p w14:paraId="7EF21127" w14:textId="77777777" w:rsidR="00624C99" w:rsidRDefault="00000000">
            <w:pPr>
              <w:spacing w:before="20" w:after="20" w:line="240" w:lineRule="auto"/>
              <w:rPr>
                <w:rFonts w:ascii="Segoe UI" w:hAnsi="Segoe UI" w:cs="Segoe UI"/>
                <w:sz w:val="16"/>
              </w:rPr>
            </w:pPr>
            <w:r>
              <w:rPr>
                <w:rFonts w:ascii="Segoe UI" w:hAnsi="Segoe UI" w:cs="Segoe UI"/>
                <w:sz w:val="16"/>
              </w:rPr>
              <w:t>Agro-industrie (huile de palme, brasserie)</w:t>
            </w:r>
          </w:p>
        </w:tc>
        <w:tc>
          <w:tcPr>
            <w:tcW w:w="2154" w:type="dxa"/>
          </w:tcPr>
          <w:p w14:paraId="278906F2" w14:textId="2FA9521D" w:rsidR="00624C99" w:rsidRDefault="00000000">
            <w:pPr>
              <w:spacing w:before="20" w:after="20" w:line="240" w:lineRule="auto"/>
              <w:jc w:val="center"/>
              <w:rPr>
                <w:rFonts w:ascii="Segoe UI" w:hAnsi="Segoe UI" w:cs="Segoe UI"/>
                <w:sz w:val="16"/>
              </w:rPr>
            </w:pPr>
            <w:r>
              <w:rPr>
                <w:rFonts w:ascii="Segoe UI" w:hAnsi="Segoe UI" w:cs="Segoe UI"/>
                <w:sz w:val="16"/>
              </w:rPr>
              <w:t>323</w:t>
            </w:r>
          </w:p>
        </w:tc>
      </w:tr>
      <w:tr w:rsidR="00624C99" w14:paraId="61E6EBA8" w14:textId="77777777">
        <w:tc>
          <w:tcPr>
            <w:tcW w:w="800" w:type="dxa"/>
          </w:tcPr>
          <w:p w14:paraId="7208972A" w14:textId="77777777" w:rsidR="00624C99" w:rsidRDefault="00000000">
            <w:pPr>
              <w:spacing w:before="20" w:after="20" w:line="240" w:lineRule="auto"/>
              <w:jc w:val="center"/>
              <w:rPr>
                <w:rFonts w:ascii="Segoe UI" w:hAnsi="Segoe UI" w:cs="Segoe UI"/>
                <w:sz w:val="16"/>
              </w:rPr>
            </w:pPr>
            <w:r>
              <w:rPr>
                <w:rFonts w:ascii="Segoe UI" w:hAnsi="Segoe UI" w:cs="Segoe UI"/>
                <w:sz w:val="16"/>
              </w:rPr>
              <w:t>4</w:t>
            </w:r>
          </w:p>
        </w:tc>
        <w:tc>
          <w:tcPr>
            <w:tcW w:w="3200" w:type="dxa"/>
          </w:tcPr>
          <w:p w14:paraId="4E9C22B7" w14:textId="77777777" w:rsidR="00624C99" w:rsidRDefault="00000000">
            <w:pPr>
              <w:spacing w:before="20" w:after="20" w:line="240" w:lineRule="auto"/>
              <w:rPr>
                <w:rFonts w:ascii="Segoe UI" w:hAnsi="Segoe UI" w:cs="Segoe UI"/>
                <w:sz w:val="16"/>
              </w:rPr>
            </w:pPr>
            <w:proofErr w:type="spellStart"/>
            <w:r>
              <w:rPr>
                <w:rFonts w:ascii="Segoe UI" w:hAnsi="Segoe UI" w:cs="Segoe UI"/>
                <w:sz w:val="16"/>
              </w:rPr>
              <w:t>Bukit</w:t>
            </w:r>
            <w:proofErr w:type="spellEnd"/>
            <w:r>
              <w:rPr>
                <w:rFonts w:ascii="Segoe UI" w:hAnsi="Segoe UI" w:cs="Segoe UI"/>
                <w:sz w:val="16"/>
              </w:rPr>
              <w:t xml:space="preserve"> </w:t>
            </w:r>
            <w:proofErr w:type="spellStart"/>
            <w:r>
              <w:rPr>
                <w:rFonts w:ascii="Segoe UI" w:hAnsi="Segoe UI" w:cs="Segoe UI"/>
                <w:sz w:val="16"/>
              </w:rPr>
              <w:t>Darah</w:t>
            </w:r>
            <w:proofErr w:type="spellEnd"/>
          </w:p>
        </w:tc>
        <w:tc>
          <w:tcPr>
            <w:tcW w:w="3200" w:type="dxa"/>
          </w:tcPr>
          <w:p w14:paraId="56EC9514" w14:textId="77777777" w:rsidR="00624C99" w:rsidRDefault="00000000">
            <w:pPr>
              <w:spacing w:before="20" w:after="20" w:line="240" w:lineRule="auto"/>
              <w:rPr>
                <w:rFonts w:ascii="Segoe UI" w:hAnsi="Segoe UI" w:cs="Segoe UI"/>
                <w:sz w:val="16"/>
              </w:rPr>
            </w:pPr>
            <w:r>
              <w:rPr>
                <w:rFonts w:ascii="Segoe UI" w:hAnsi="Segoe UI" w:cs="Segoe UI"/>
                <w:sz w:val="16"/>
              </w:rPr>
              <w:t xml:space="preserve">Holding de Carson </w:t>
            </w:r>
            <w:proofErr w:type="spellStart"/>
            <w:r>
              <w:rPr>
                <w:rFonts w:ascii="Segoe UI" w:hAnsi="Segoe UI" w:cs="Segoe UI"/>
                <w:sz w:val="16"/>
              </w:rPr>
              <w:t>Cumberbatch</w:t>
            </w:r>
            <w:proofErr w:type="spellEnd"/>
          </w:p>
        </w:tc>
        <w:tc>
          <w:tcPr>
            <w:tcW w:w="2154" w:type="dxa"/>
          </w:tcPr>
          <w:p w14:paraId="4D200EDC" w14:textId="5B4DC5CE" w:rsidR="00624C99" w:rsidRDefault="00AC395A">
            <w:pPr>
              <w:spacing w:before="20" w:after="20" w:line="240" w:lineRule="auto"/>
              <w:jc w:val="center"/>
              <w:rPr>
                <w:rFonts w:ascii="Segoe UI" w:hAnsi="Segoe UI" w:cs="Segoe UI"/>
                <w:sz w:val="16"/>
              </w:rPr>
            </w:pPr>
            <w:r>
              <w:rPr>
                <w:rFonts w:ascii="Segoe UI" w:hAnsi="Segoe UI" w:cs="Segoe UI"/>
                <w:sz w:val="16"/>
              </w:rPr>
              <w:t>323</w:t>
            </w:r>
          </w:p>
        </w:tc>
      </w:tr>
      <w:tr w:rsidR="00624C99" w14:paraId="3EE9B98F" w14:textId="77777777">
        <w:tc>
          <w:tcPr>
            <w:tcW w:w="800" w:type="dxa"/>
          </w:tcPr>
          <w:p w14:paraId="72EB6EC9" w14:textId="77777777" w:rsidR="00624C99" w:rsidRDefault="00000000">
            <w:pPr>
              <w:spacing w:before="20" w:after="20" w:line="240" w:lineRule="auto"/>
              <w:jc w:val="center"/>
              <w:rPr>
                <w:rFonts w:ascii="Segoe UI" w:hAnsi="Segoe UI" w:cs="Segoe UI"/>
                <w:sz w:val="16"/>
              </w:rPr>
            </w:pPr>
            <w:r>
              <w:rPr>
                <w:rFonts w:ascii="Segoe UI" w:hAnsi="Segoe UI" w:cs="Segoe UI"/>
                <w:sz w:val="16"/>
              </w:rPr>
              <w:t>5</w:t>
            </w:r>
          </w:p>
        </w:tc>
        <w:tc>
          <w:tcPr>
            <w:tcW w:w="3200" w:type="dxa"/>
          </w:tcPr>
          <w:p w14:paraId="4D05FE4B" w14:textId="77777777" w:rsidR="00624C99" w:rsidRDefault="00000000">
            <w:pPr>
              <w:spacing w:before="20" w:after="20" w:line="240" w:lineRule="auto"/>
              <w:rPr>
                <w:rFonts w:ascii="Segoe UI" w:hAnsi="Segoe UI" w:cs="Segoe UI"/>
                <w:sz w:val="16"/>
              </w:rPr>
            </w:pPr>
            <w:r>
              <w:rPr>
                <w:rFonts w:ascii="Segoe UI" w:hAnsi="Segoe UI" w:cs="Segoe UI"/>
                <w:sz w:val="16"/>
              </w:rPr>
              <w:t xml:space="preserve">John </w:t>
            </w:r>
            <w:proofErr w:type="spellStart"/>
            <w:r>
              <w:rPr>
                <w:rFonts w:ascii="Segoe UI" w:hAnsi="Segoe UI" w:cs="Segoe UI"/>
                <w:sz w:val="16"/>
              </w:rPr>
              <w:t>Keells</w:t>
            </w:r>
            <w:proofErr w:type="spellEnd"/>
            <w:r>
              <w:rPr>
                <w:rFonts w:ascii="Segoe UI" w:hAnsi="Segoe UI" w:cs="Segoe UI"/>
                <w:sz w:val="16"/>
              </w:rPr>
              <w:t xml:space="preserve"> Holdings</w:t>
            </w:r>
          </w:p>
        </w:tc>
        <w:tc>
          <w:tcPr>
            <w:tcW w:w="3200" w:type="dxa"/>
          </w:tcPr>
          <w:p w14:paraId="79F96506" w14:textId="77777777" w:rsidR="00624C99" w:rsidRDefault="00000000">
            <w:pPr>
              <w:spacing w:before="20" w:after="20" w:line="240" w:lineRule="auto"/>
              <w:rPr>
                <w:rFonts w:ascii="Segoe UI" w:hAnsi="Segoe UI" w:cs="Segoe UI"/>
                <w:sz w:val="16"/>
              </w:rPr>
            </w:pPr>
            <w:r>
              <w:rPr>
                <w:rFonts w:ascii="Segoe UI" w:hAnsi="Segoe UI" w:cs="Segoe UI"/>
                <w:sz w:val="16"/>
              </w:rPr>
              <w:t>Conglomérat (distribution, immobilier, loisirs, ports)</w:t>
            </w:r>
          </w:p>
        </w:tc>
        <w:tc>
          <w:tcPr>
            <w:tcW w:w="2154" w:type="dxa"/>
          </w:tcPr>
          <w:p w14:paraId="6FA598F4" w14:textId="58A0FBBD" w:rsidR="00624C99" w:rsidRDefault="00AC395A">
            <w:pPr>
              <w:spacing w:before="20" w:after="20" w:line="240" w:lineRule="auto"/>
              <w:jc w:val="center"/>
              <w:rPr>
                <w:rFonts w:ascii="Segoe UI" w:hAnsi="Segoe UI" w:cs="Segoe UI"/>
                <w:sz w:val="16"/>
              </w:rPr>
            </w:pPr>
            <w:r>
              <w:rPr>
                <w:rFonts w:ascii="Segoe UI" w:hAnsi="Segoe UI" w:cs="Segoe UI"/>
                <w:sz w:val="16"/>
              </w:rPr>
              <w:t>318</w:t>
            </w:r>
          </w:p>
        </w:tc>
      </w:tr>
      <w:tr w:rsidR="00624C99" w14:paraId="7B3D0B6D" w14:textId="77777777">
        <w:tc>
          <w:tcPr>
            <w:tcW w:w="800" w:type="dxa"/>
          </w:tcPr>
          <w:p w14:paraId="2780729A" w14:textId="77777777" w:rsidR="00624C99" w:rsidRDefault="00000000">
            <w:pPr>
              <w:spacing w:before="20" w:after="20" w:line="240" w:lineRule="auto"/>
              <w:jc w:val="center"/>
              <w:rPr>
                <w:rFonts w:ascii="Segoe UI" w:hAnsi="Segoe UI" w:cs="Segoe UI"/>
                <w:sz w:val="16"/>
              </w:rPr>
            </w:pPr>
            <w:r>
              <w:rPr>
                <w:rFonts w:ascii="Segoe UI" w:hAnsi="Segoe UI" w:cs="Segoe UI"/>
                <w:sz w:val="16"/>
              </w:rPr>
              <w:t>6</w:t>
            </w:r>
          </w:p>
        </w:tc>
        <w:tc>
          <w:tcPr>
            <w:tcW w:w="3200" w:type="dxa"/>
          </w:tcPr>
          <w:p w14:paraId="05B934A6" w14:textId="77777777" w:rsidR="00624C99" w:rsidRDefault="00000000">
            <w:pPr>
              <w:spacing w:before="20" w:after="20" w:line="240" w:lineRule="auto"/>
              <w:rPr>
                <w:rFonts w:ascii="Segoe UI" w:hAnsi="Segoe UI" w:cs="Segoe UI"/>
                <w:sz w:val="16"/>
              </w:rPr>
            </w:pPr>
            <w:r>
              <w:rPr>
                <w:rFonts w:ascii="Segoe UI" w:hAnsi="Segoe UI" w:cs="Segoe UI"/>
                <w:sz w:val="16"/>
              </w:rPr>
              <w:t>Lanka IOC (</w:t>
            </w:r>
            <w:proofErr w:type="spellStart"/>
            <w:r>
              <w:rPr>
                <w:rFonts w:ascii="Segoe UI" w:hAnsi="Segoe UI" w:cs="Segoe UI"/>
                <w:sz w:val="16"/>
              </w:rPr>
              <w:t>Indian</w:t>
            </w:r>
            <w:proofErr w:type="spellEnd"/>
            <w:r>
              <w:rPr>
                <w:rFonts w:ascii="Segoe UI" w:hAnsi="Segoe UI" w:cs="Segoe UI"/>
                <w:sz w:val="16"/>
              </w:rPr>
              <w:t xml:space="preserve"> </w:t>
            </w:r>
            <w:proofErr w:type="spellStart"/>
            <w:r>
              <w:rPr>
                <w:rFonts w:ascii="Segoe UI" w:hAnsi="Segoe UI" w:cs="Segoe UI"/>
                <w:sz w:val="16"/>
              </w:rPr>
              <w:t>Oil</w:t>
            </w:r>
            <w:proofErr w:type="spellEnd"/>
            <w:r>
              <w:rPr>
                <w:rFonts w:ascii="Segoe UI" w:hAnsi="Segoe UI" w:cs="Segoe UI"/>
                <w:sz w:val="16"/>
              </w:rPr>
              <w:t>)</w:t>
            </w:r>
          </w:p>
        </w:tc>
        <w:tc>
          <w:tcPr>
            <w:tcW w:w="3200" w:type="dxa"/>
          </w:tcPr>
          <w:p w14:paraId="2D256859" w14:textId="77777777" w:rsidR="00624C99" w:rsidRDefault="00000000">
            <w:pPr>
              <w:spacing w:before="20" w:after="20" w:line="240" w:lineRule="auto"/>
              <w:rPr>
                <w:rFonts w:ascii="Segoe UI" w:hAnsi="Segoe UI" w:cs="Segoe UI"/>
                <w:sz w:val="16"/>
              </w:rPr>
            </w:pPr>
            <w:r>
              <w:rPr>
                <w:rFonts w:ascii="Segoe UI" w:hAnsi="Segoe UI" w:cs="Segoe UI"/>
                <w:sz w:val="16"/>
              </w:rPr>
              <w:t>Distribution de carburants</w:t>
            </w:r>
          </w:p>
        </w:tc>
        <w:tc>
          <w:tcPr>
            <w:tcW w:w="2154" w:type="dxa"/>
          </w:tcPr>
          <w:p w14:paraId="0F20DFF9" w14:textId="4A47ADA7" w:rsidR="00624C99" w:rsidRDefault="00AC395A">
            <w:pPr>
              <w:spacing w:before="20" w:after="20" w:line="240" w:lineRule="auto"/>
              <w:jc w:val="center"/>
              <w:rPr>
                <w:rFonts w:ascii="Segoe UI" w:hAnsi="Segoe UI" w:cs="Segoe UI"/>
                <w:sz w:val="16"/>
              </w:rPr>
            </w:pPr>
            <w:r>
              <w:rPr>
                <w:rFonts w:ascii="Segoe UI" w:hAnsi="Segoe UI" w:cs="Segoe UI"/>
                <w:sz w:val="16"/>
              </w:rPr>
              <w:t>276</w:t>
            </w:r>
          </w:p>
        </w:tc>
      </w:tr>
      <w:tr w:rsidR="00624C99" w14:paraId="183B9CF4" w14:textId="77777777">
        <w:tc>
          <w:tcPr>
            <w:tcW w:w="800" w:type="dxa"/>
          </w:tcPr>
          <w:p w14:paraId="6FEC48BC" w14:textId="77777777" w:rsidR="00624C99" w:rsidRDefault="00000000">
            <w:pPr>
              <w:spacing w:before="20" w:after="20" w:line="240" w:lineRule="auto"/>
              <w:jc w:val="center"/>
              <w:rPr>
                <w:rFonts w:ascii="Segoe UI" w:hAnsi="Segoe UI" w:cs="Segoe UI"/>
                <w:sz w:val="16"/>
              </w:rPr>
            </w:pPr>
            <w:r>
              <w:rPr>
                <w:rFonts w:ascii="Segoe UI" w:hAnsi="Segoe UI" w:cs="Segoe UI"/>
                <w:sz w:val="16"/>
              </w:rPr>
              <w:t>7</w:t>
            </w:r>
          </w:p>
        </w:tc>
        <w:tc>
          <w:tcPr>
            <w:tcW w:w="3200" w:type="dxa"/>
          </w:tcPr>
          <w:p w14:paraId="56AF431D" w14:textId="77777777" w:rsidR="00624C99" w:rsidRDefault="00000000">
            <w:pPr>
              <w:spacing w:before="20" w:after="20" w:line="240" w:lineRule="auto"/>
              <w:rPr>
                <w:rFonts w:ascii="Segoe UI" w:hAnsi="Segoe UI" w:cs="Segoe UI"/>
                <w:sz w:val="16"/>
              </w:rPr>
            </w:pPr>
            <w:r>
              <w:rPr>
                <w:rFonts w:ascii="Segoe UI" w:hAnsi="Segoe UI" w:cs="Segoe UI"/>
                <w:sz w:val="16"/>
              </w:rPr>
              <w:t xml:space="preserve">Commercial Bank of </w:t>
            </w:r>
            <w:proofErr w:type="spellStart"/>
            <w:r>
              <w:rPr>
                <w:rFonts w:ascii="Segoe UI" w:hAnsi="Segoe UI" w:cs="Segoe UI"/>
                <w:sz w:val="16"/>
              </w:rPr>
              <w:t>Ceylon</w:t>
            </w:r>
            <w:proofErr w:type="spellEnd"/>
          </w:p>
        </w:tc>
        <w:tc>
          <w:tcPr>
            <w:tcW w:w="3200" w:type="dxa"/>
          </w:tcPr>
          <w:p w14:paraId="1CAEA241" w14:textId="77777777" w:rsidR="00624C99" w:rsidRDefault="00000000">
            <w:pPr>
              <w:spacing w:before="20" w:after="20" w:line="240" w:lineRule="auto"/>
              <w:rPr>
                <w:rFonts w:ascii="Segoe UI" w:hAnsi="Segoe UI" w:cs="Segoe UI"/>
                <w:sz w:val="16"/>
              </w:rPr>
            </w:pPr>
            <w:r>
              <w:rPr>
                <w:rFonts w:ascii="Segoe UI" w:hAnsi="Segoe UI" w:cs="Segoe UI"/>
                <w:sz w:val="16"/>
              </w:rPr>
              <w:t>Banque</w:t>
            </w:r>
          </w:p>
        </w:tc>
        <w:tc>
          <w:tcPr>
            <w:tcW w:w="2154" w:type="dxa"/>
          </w:tcPr>
          <w:p w14:paraId="72934E9C" w14:textId="01514788" w:rsidR="00624C99" w:rsidRDefault="00AC395A">
            <w:pPr>
              <w:spacing w:before="20" w:after="20" w:line="240" w:lineRule="auto"/>
              <w:jc w:val="center"/>
              <w:rPr>
                <w:rFonts w:ascii="Segoe UI" w:hAnsi="Segoe UI" w:cs="Segoe UI"/>
                <w:sz w:val="16"/>
              </w:rPr>
            </w:pPr>
            <w:r>
              <w:rPr>
                <w:rFonts w:ascii="Segoe UI" w:hAnsi="Segoe UI" w:cs="Segoe UI"/>
                <w:sz w:val="16"/>
              </w:rPr>
              <w:t>275</w:t>
            </w:r>
          </w:p>
        </w:tc>
      </w:tr>
      <w:tr w:rsidR="00624C99" w14:paraId="7F9B2C1E" w14:textId="77777777">
        <w:tc>
          <w:tcPr>
            <w:tcW w:w="800" w:type="dxa"/>
          </w:tcPr>
          <w:p w14:paraId="4200EDDE" w14:textId="77777777" w:rsidR="00624C99" w:rsidRDefault="00000000">
            <w:pPr>
              <w:spacing w:before="20" w:after="20" w:line="240" w:lineRule="auto"/>
              <w:jc w:val="center"/>
              <w:rPr>
                <w:rFonts w:ascii="Segoe UI" w:hAnsi="Segoe UI" w:cs="Segoe UI"/>
                <w:sz w:val="16"/>
              </w:rPr>
            </w:pPr>
            <w:r>
              <w:rPr>
                <w:rFonts w:ascii="Segoe UI" w:hAnsi="Segoe UI" w:cs="Segoe UI"/>
                <w:sz w:val="16"/>
              </w:rPr>
              <w:t>8</w:t>
            </w:r>
          </w:p>
        </w:tc>
        <w:tc>
          <w:tcPr>
            <w:tcW w:w="3200" w:type="dxa"/>
          </w:tcPr>
          <w:p w14:paraId="38B24473" w14:textId="77777777" w:rsidR="00624C99" w:rsidRDefault="00000000">
            <w:pPr>
              <w:spacing w:before="20" w:after="20" w:line="240" w:lineRule="auto"/>
              <w:rPr>
                <w:rFonts w:ascii="Segoe UI" w:hAnsi="Segoe UI" w:cs="Segoe UI"/>
                <w:sz w:val="16"/>
              </w:rPr>
            </w:pPr>
            <w:r>
              <w:rPr>
                <w:rFonts w:ascii="Segoe UI" w:hAnsi="Segoe UI" w:cs="Segoe UI"/>
                <w:sz w:val="16"/>
              </w:rPr>
              <w:t>CT Holdings</w:t>
            </w:r>
          </w:p>
        </w:tc>
        <w:tc>
          <w:tcPr>
            <w:tcW w:w="3200" w:type="dxa"/>
          </w:tcPr>
          <w:p w14:paraId="29F8D1B6" w14:textId="77777777" w:rsidR="00624C99" w:rsidRDefault="00000000">
            <w:pPr>
              <w:spacing w:before="20" w:after="20" w:line="240" w:lineRule="auto"/>
              <w:rPr>
                <w:rFonts w:ascii="Segoe UI" w:hAnsi="Segoe UI" w:cs="Segoe UI"/>
                <w:sz w:val="16"/>
              </w:rPr>
            </w:pPr>
            <w:r>
              <w:rPr>
                <w:rFonts w:ascii="Segoe UI" w:hAnsi="Segoe UI" w:cs="Segoe UI"/>
                <w:sz w:val="16"/>
              </w:rPr>
              <w:t>Distribution, agro-alimentaire</w:t>
            </w:r>
          </w:p>
        </w:tc>
        <w:tc>
          <w:tcPr>
            <w:tcW w:w="2154" w:type="dxa"/>
          </w:tcPr>
          <w:p w14:paraId="4991F61A" w14:textId="5BCD599D" w:rsidR="00624C99" w:rsidRDefault="00AC395A">
            <w:pPr>
              <w:spacing w:before="20" w:after="20" w:line="240" w:lineRule="auto"/>
              <w:jc w:val="center"/>
              <w:rPr>
                <w:rFonts w:ascii="Segoe UI" w:hAnsi="Segoe UI" w:cs="Segoe UI"/>
                <w:sz w:val="16"/>
              </w:rPr>
            </w:pPr>
            <w:r>
              <w:rPr>
                <w:rFonts w:ascii="Segoe UI" w:hAnsi="Segoe UI" w:cs="Segoe UI"/>
                <w:sz w:val="16"/>
              </w:rPr>
              <w:t>245</w:t>
            </w:r>
          </w:p>
        </w:tc>
      </w:tr>
      <w:tr w:rsidR="00624C99" w14:paraId="4773D6F4" w14:textId="77777777">
        <w:tc>
          <w:tcPr>
            <w:tcW w:w="800" w:type="dxa"/>
          </w:tcPr>
          <w:p w14:paraId="7EF87195" w14:textId="77777777" w:rsidR="00624C99" w:rsidRDefault="00000000">
            <w:pPr>
              <w:spacing w:before="20" w:after="20" w:line="240" w:lineRule="auto"/>
              <w:jc w:val="center"/>
              <w:rPr>
                <w:rFonts w:ascii="Segoe UI" w:hAnsi="Segoe UI" w:cs="Segoe UI"/>
                <w:sz w:val="16"/>
              </w:rPr>
            </w:pPr>
            <w:r>
              <w:rPr>
                <w:rFonts w:ascii="Segoe UI" w:hAnsi="Segoe UI" w:cs="Segoe UI"/>
                <w:sz w:val="16"/>
              </w:rPr>
              <w:t>9</w:t>
            </w:r>
          </w:p>
        </w:tc>
        <w:tc>
          <w:tcPr>
            <w:tcW w:w="3200" w:type="dxa"/>
          </w:tcPr>
          <w:p w14:paraId="1C2A568B" w14:textId="77777777" w:rsidR="00624C99" w:rsidRDefault="00000000">
            <w:pPr>
              <w:spacing w:before="20" w:after="20" w:line="240" w:lineRule="auto"/>
              <w:rPr>
                <w:rFonts w:ascii="Segoe UI" w:hAnsi="Segoe UI" w:cs="Segoe UI"/>
                <w:sz w:val="16"/>
              </w:rPr>
            </w:pPr>
            <w:proofErr w:type="spellStart"/>
            <w:r>
              <w:rPr>
                <w:rFonts w:ascii="Segoe UI" w:hAnsi="Segoe UI" w:cs="Segoe UI"/>
                <w:sz w:val="16"/>
              </w:rPr>
              <w:t>Cargills</w:t>
            </w:r>
            <w:proofErr w:type="spellEnd"/>
            <w:r>
              <w:rPr>
                <w:rFonts w:ascii="Segoe UI" w:hAnsi="Segoe UI" w:cs="Segoe UI"/>
                <w:sz w:val="16"/>
              </w:rPr>
              <w:t xml:space="preserve"> (</w:t>
            </w:r>
            <w:proofErr w:type="spellStart"/>
            <w:r>
              <w:rPr>
                <w:rFonts w:ascii="Segoe UI" w:hAnsi="Segoe UI" w:cs="Segoe UI"/>
                <w:sz w:val="16"/>
              </w:rPr>
              <w:t>Ceylon</w:t>
            </w:r>
            <w:proofErr w:type="spellEnd"/>
            <w:r>
              <w:rPr>
                <w:rFonts w:ascii="Segoe UI" w:hAnsi="Segoe UI" w:cs="Segoe UI"/>
                <w:sz w:val="16"/>
              </w:rPr>
              <w:t>)</w:t>
            </w:r>
          </w:p>
        </w:tc>
        <w:tc>
          <w:tcPr>
            <w:tcW w:w="3200" w:type="dxa"/>
          </w:tcPr>
          <w:p w14:paraId="1F46DE40" w14:textId="77777777" w:rsidR="00624C99" w:rsidRDefault="00000000">
            <w:pPr>
              <w:spacing w:before="20" w:after="20" w:line="240" w:lineRule="auto"/>
              <w:rPr>
                <w:rFonts w:ascii="Segoe UI" w:hAnsi="Segoe UI" w:cs="Segoe UI"/>
                <w:sz w:val="16"/>
              </w:rPr>
            </w:pPr>
            <w:r>
              <w:rPr>
                <w:rFonts w:ascii="Segoe UI" w:hAnsi="Segoe UI" w:cs="Segoe UI"/>
                <w:sz w:val="16"/>
              </w:rPr>
              <w:t>Distribution, agro-alimentaire</w:t>
            </w:r>
          </w:p>
        </w:tc>
        <w:tc>
          <w:tcPr>
            <w:tcW w:w="2154" w:type="dxa"/>
          </w:tcPr>
          <w:p w14:paraId="7CC90939" w14:textId="198F54F6" w:rsidR="00624C99" w:rsidRDefault="00AC395A">
            <w:pPr>
              <w:spacing w:before="20" w:after="20" w:line="240" w:lineRule="auto"/>
              <w:jc w:val="center"/>
              <w:rPr>
                <w:rFonts w:ascii="Segoe UI" w:hAnsi="Segoe UI" w:cs="Segoe UI"/>
                <w:sz w:val="16"/>
              </w:rPr>
            </w:pPr>
            <w:r>
              <w:rPr>
                <w:rFonts w:ascii="Segoe UI" w:hAnsi="Segoe UI" w:cs="Segoe UI"/>
                <w:sz w:val="16"/>
              </w:rPr>
              <w:t>241</w:t>
            </w:r>
          </w:p>
        </w:tc>
      </w:tr>
      <w:tr w:rsidR="00624C99" w14:paraId="25CDF44A" w14:textId="77777777">
        <w:tc>
          <w:tcPr>
            <w:tcW w:w="800" w:type="dxa"/>
          </w:tcPr>
          <w:p w14:paraId="420A233C" w14:textId="77777777" w:rsidR="00624C99" w:rsidRDefault="00000000">
            <w:pPr>
              <w:spacing w:before="20" w:after="20" w:line="240" w:lineRule="auto"/>
              <w:jc w:val="center"/>
              <w:rPr>
                <w:rFonts w:ascii="Segoe UI" w:hAnsi="Segoe UI" w:cs="Segoe UI"/>
                <w:sz w:val="16"/>
              </w:rPr>
            </w:pPr>
            <w:r>
              <w:rPr>
                <w:rFonts w:ascii="Segoe UI" w:hAnsi="Segoe UI" w:cs="Segoe UI"/>
                <w:sz w:val="16"/>
              </w:rPr>
              <w:t>10</w:t>
            </w:r>
          </w:p>
        </w:tc>
        <w:tc>
          <w:tcPr>
            <w:tcW w:w="3200" w:type="dxa"/>
          </w:tcPr>
          <w:p w14:paraId="19F69169" w14:textId="77777777" w:rsidR="00624C99" w:rsidRDefault="00000000">
            <w:pPr>
              <w:spacing w:before="20" w:after="20" w:line="240" w:lineRule="auto"/>
              <w:rPr>
                <w:rFonts w:ascii="Segoe UI" w:hAnsi="Segoe UI" w:cs="Segoe UI"/>
                <w:sz w:val="16"/>
              </w:rPr>
            </w:pPr>
            <w:r>
              <w:rPr>
                <w:rFonts w:ascii="Segoe UI" w:hAnsi="Segoe UI" w:cs="Segoe UI"/>
                <w:sz w:val="16"/>
              </w:rPr>
              <w:t>Hatton National Bank</w:t>
            </w:r>
          </w:p>
        </w:tc>
        <w:tc>
          <w:tcPr>
            <w:tcW w:w="3200" w:type="dxa"/>
          </w:tcPr>
          <w:p w14:paraId="2335301B" w14:textId="77777777" w:rsidR="00624C99" w:rsidRDefault="00000000">
            <w:pPr>
              <w:spacing w:before="20" w:after="20" w:line="240" w:lineRule="auto"/>
              <w:rPr>
                <w:rFonts w:ascii="Segoe UI" w:hAnsi="Segoe UI" w:cs="Segoe UI"/>
                <w:sz w:val="16"/>
              </w:rPr>
            </w:pPr>
            <w:r>
              <w:rPr>
                <w:rFonts w:ascii="Segoe UI" w:hAnsi="Segoe UI" w:cs="Segoe UI"/>
                <w:sz w:val="16"/>
              </w:rPr>
              <w:t>Banque</w:t>
            </w:r>
          </w:p>
        </w:tc>
        <w:tc>
          <w:tcPr>
            <w:tcW w:w="2154" w:type="dxa"/>
          </w:tcPr>
          <w:p w14:paraId="4A832FCF" w14:textId="3D281D59" w:rsidR="00624C99" w:rsidRDefault="00AC395A">
            <w:pPr>
              <w:spacing w:before="20" w:after="20" w:line="240" w:lineRule="auto"/>
              <w:jc w:val="center"/>
              <w:rPr>
                <w:rFonts w:ascii="Segoe UI" w:hAnsi="Segoe UI" w:cs="Segoe UI"/>
                <w:sz w:val="16"/>
              </w:rPr>
            </w:pPr>
            <w:r>
              <w:rPr>
                <w:rFonts w:ascii="Segoe UI" w:hAnsi="Segoe UI" w:cs="Segoe UI"/>
                <w:sz w:val="16"/>
              </w:rPr>
              <w:t>229</w:t>
            </w:r>
          </w:p>
        </w:tc>
      </w:tr>
    </w:tbl>
    <w:p w14:paraId="6921776C" w14:textId="3A94DB04" w:rsidR="00624C99" w:rsidRDefault="00000000">
      <w:pPr>
        <w:spacing w:before="40" w:line="240" w:lineRule="auto"/>
        <w:jc w:val="both"/>
        <w:rPr>
          <w:rFonts w:ascii="Segoe UI" w:hAnsi="Segoe UI" w:cs="Segoe UI"/>
          <w:i/>
          <w:sz w:val="14"/>
        </w:rPr>
      </w:pPr>
      <w:r>
        <w:rPr>
          <w:rFonts w:ascii="Segoe UI" w:hAnsi="Segoe UI" w:cs="Segoe UI"/>
          <w:i/>
          <w:sz w:val="14"/>
        </w:rPr>
        <w:t xml:space="preserve">Source : LMD 100, 32e édition, décembre. Le classement ne couvre ni les groupes non cotés (MAS, </w:t>
      </w:r>
      <w:proofErr w:type="spellStart"/>
      <w:r>
        <w:rPr>
          <w:rFonts w:ascii="Segoe UI" w:hAnsi="Segoe UI" w:cs="Segoe UI"/>
          <w:i/>
          <w:sz w:val="14"/>
        </w:rPr>
        <w:t>Brandix</w:t>
      </w:r>
      <w:proofErr w:type="spellEnd"/>
      <w:r>
        <w:rPr>
          <w:rFonts w:ascii="Segoe UI" w:hAnsi="Segoe UI" w:cs="Segoe UI"/>
          <w:i/>
          <w:sz w:val="14"/>
        </w:rPr>
        <w:t xml:space="preserve">, </w:t>
      </w:r>
      <w:proofErr w:type="spellStart"/>
      <w:r>
        <w:rPr>
          <w:rFonts w:ascii="Segoe UI" w:hAnsi="Segoe UI" w:cs="Segoe UI"/>
          <w:i/>
          <w:sz w:val="14"/>
        </w:rPr>
        <w:t>Dilmah</w:t>
      </w:r>
      <w:proofErr w:type="spellEnd"/>
      <w:r>
        <w:rPr>
          <w:rFonts w:ascii="Segoe UI" w:hAnsi="Segoe UI" w:cs="Segoe UI"/>
          <w:i/>
          <w:sz w:val="14"/>
        </w:rPr>
        <w:t>) ni les entreprises publiques.</w:t>
      </w:r>
    </w:p>
    <w:p w14:paraId="30325E5E" w14:textId="447D47B8" w:rsidR="00BA2C5F" w:rsidRPr="00BA2C5F" w:rsidRDefault="00BA2C5F" w:rsidP="00BA2C5F">
      <w:pPr>
        <w:spacing w:before="40" w:line="240" w:lineRule="auto"/>
        <w:jc w:val="both"/>
        <w:rPr>
          <w:rFonts w:ascii="Segoe UI" w:hAnsi="Segoe UI" w:cs="Segoe UI"/>
          <w:i/>
          <w:sz w:val="14"/>
        </w:rPr>
      </w:pPr>
      <w:r w:rsidRPr="00BA2C5F">
        <w:rPr>
          <w:rFonts w:ascii="Segoe UI" w:hAnsi="Segoe UI" w:cs="Segoe UI"/>
          <w:i/>
          <w:iCs/>
          <w:sz w:val="14"/>
        </w:rPr>
        <w:t>Note</w:t>
      </w:r>
      <w:r>
        <w:rPr>
          <w:rFonts w:ascii="Segoe UI" w:hAnsi="Segoe UI" w:cs="Segoe UI"/>
          <w:i/>
          <w:iCs/>
          <w:sz w:val="14"/>
        </w:rPr>
        <w:t>s</w:t>
      </w:r>
      <w:r w:rsidRPr="00BA2C5F">
        <w:rPr>
          <w:rFonts w:ascii="Segoe UI" w:hAnsi="Segoe UI" w:cs="Segoe UI"/>
          <w:i/>
          <w:iCs/>
          <w:sz w:val="14"/>
        </w:rPr>
        <w:t xml:space="preserve"> de lecture :</w:t>
      </w:r>
      <w:r>
        <w:rPr>
          <w:rFonts w:ascii="Segoe UI" w:hAnsi="Segoe UI" w:cs="Segoe UI"/>
          <w:i/>
          <w:iCs/>
          <w:sz w:val="14"/>
        </w:rPr>
        <w:t xml:space="preserve"> (1)</w:t>
      </w:r>
      <w:r w:rsidRPr="00BA2C5F">
        <w:rPr>
          <w:rFonts w:ascii="Segoe UI" w:hAnsi="Segoe UI" w:cs="Segoe UI"/>
          <w:i/>
          <w:iCs/>
          <w:sz w:val="14"/>
        </w:rPr>
        <w:t xml:space="preserve"> </w:t>
      </w:r>
      <w:r>
        <w:rPr>
          <w:rFonts w:ascii="Segoe UI" w:hAnsi="Segoe UI" w:cs="Segoe UI"/>
          <w:i/>
          <w:iCs/>
          <w:sz w:val="14"/>
        </w:rPr>
        <w:t>P</w:t>
      </w:r>
      <w:r w:rsidRPr="00BA2C5F">
        <w:rPr>
          <w:rFonts w:ascii="Segoe UI" w:hAnsi="Segoe UI" w:cs="Segoe UI"/>
          <w:i/>
          <w:iCs/>
          <w:sz w:val="14"/>
        </w:rPr>
        <w:t>our Commercial Bank et Hatton National Bank, le montant correspond au produit brut consolidé (produit d'intérêts, commissions et autres produits), et non à un chiffre d'affaires au sens industriel</w:t>
      </w:r>
      <w:r>
        <w:rPr>
          <w:rFonts w:ascii="Segoe UI" w:hAnsi="Segoe UI" w:cs="Segoe UI"/>
          <w:i/>
          <w:iCs/>
          <w:sz w:val="14"/>
        </w:rPr>
        <w:t>.</w:t>
      </w:r>
      <w:r>
        <w:rPr>
          <w:rFonts w:ascii="Segoe UI" w:hAnsi="Segoe UI" w:cs="Segoe UI"/>
          <w:i/>
          <w:sz w:val="14"/>
        </w:rPr>
        <w:t xml:space="preserve"> (2) </w:t>
      </w:r>
      <w:r w:rsidRPr="00BA2C5F">
        <w:rPr>
          <w:rFonts w:ascii="Segoe UI" w:hAnsi="Segoe UI" w:cs="Segoe UI"/>
          <w:i/>
          <w:iCs/>
          <w:sz w:val="14"/>
        </w:rPr>
        <w:t xml:space="preserve">Carson </w:t>
      </w:r>
      <w:proofErr w:type="spellStart"/>
      <w:r w:rsidRPr="00BA2C5F">
        <w:rPr>
          <w:rFonts w:ascii="Segoe UI" w:hAnsi="Segoe UI" w:cs="Segoe UI"/>
          <w:i/>
          <w:iCs/>
          <w:sz w:val="14"/>
        </w:rPr>
        <w:t>Cumberbatch</w:t>
      </w:r>
      <w:proofErr w:type="spellEnd"/>
      <w:r w:rsidRPr="00BA2C5F">
        <w:rPr>
          <w:rFonts w:ascii="Segoe UI" w:hAnsi="Segoe UI" w:cs="Segoe UI"/>
          <w:i/>
          <w:iCs/>
          <w:sz w:val="14"/>
        </w:rPr>
        <w:t xml:space="preserve"> et </w:t>
      </w:r>
      <w:proofErr w:type="spellStart"/>
      <w:r w:rsidRPr="00BA2C5F">
        <w:rPr>
          <w:rFonts w:ascii="Segoe UI" w:hAnsi="Segoe UI" w:cs="Segoe UI"/>
          <w:i/>
          <w:iCs/>
          <w:sz w:val="14"/>
        </w:rPr>
        <w:t>Bukit</w:t>
      </w:r>
      <w:proofErr w:type="spellEnd"/>
      <w:r w:rsidRPr="00BA2C5F">
        <w:rPr>
          <w:rFonts w:ascii="Segoe UI" w:hAnsi="Segoe UI" w:cs="Segoe UI"/>
          <w:i/>
          <w:iCs/>
          <w:sz w:val="14"/>
        </w:rPr>
        <w:t xml:space="preserve"> </w:t>
      </w:r>
      <w:proofErr w:type="spellStart"/>
      <w:r w:rsidRPr="00BA2C5F">
        <w:rPr>
          <w:rFonts w:ascii="Segoe UI" w:hAnsi="Segoe UI" w:cs="Segoe UI"/>
          <w:i/>
          <w:iCs/>
          <w:sz w:val="14"/>
        </w:rPr>
        <w:t>Darah</w:t>
      </w:r>
      <w:proofErr w:type="spellEnd"/>
      <w:r w:rsidRPr="00BA2C5F">
        <w:rPr>
          <w:rFonts w:ascii="Segoe UI" w:hAnsi="Segoe UI" w:cs="Segoe UI"/>
          <w:i/>
          <w:iCs/>
          <w:sz w:val="14"/>
        </w:rPr>
        <w:t xml:space="preserve"> forment un même ensemble compté à deux niveaux — </w:t>
      </w:r>
      <w:proofErr w:type="spellStart"/>
      <w:r w:rsidRPr="00BA2C5F">
        <w:rPr>
          <w:rFonts w:ascii="Segoe UI" w:hAnsi="Segoe UI" w:cs="Segoe UI"/>
          <w:i/>
          <w:iCs/>
          <w:sz w:val="14"/>
        </w:rPr>
        <w:t>Bukit</w:t>
      </w:r>
      <w:proofErr w:type="spellEnd"/>
      <w:r w:rsidRPr="00BA2C5F">
        <w:rPr>
          <w:rFonts w:ascii="Segoe UI" w:hAnsi="Segoe UI" w:cs="Segoe UI"/>
          <w:i/>
          <w:iCs/>
          <w:sz w:val="14"/>
        </w:rPr>
        <w:t xml:space="preserve"> </w:t>
      </w:r>
      <w:proofErr w:type="spellStart"/>
      <w:r w:rsidRPr="00BA2C5F">
        <w:rPr>
          <w:rFonts w:ascii="Segoe UI" w:hAnsi="Segoe UI" w:cs="Segoe UI"/>
          <w:i/>
          <w:iCs/>
          <w:sz w:val="14"/>
        </w:rPr>
        <w:t>Darah</w:t>
      </w:r>
      <w:proofErr w:type="spellEnd"/>
      <w:r w:rsidRPr="00BA2C5F">
        <w:rPr>
          <w:rFonts w:ascii="Segoe UI" w:hAnsi="Segoe UI" w:cs="Segoe UI"/>
          <w:i/>
          <w:iCs/>
          <w:sz w:val="14"/>
        </w:rPr>
        <w:t xml:space="preserve"> est la holding de tête qui consolide Carson </w:t>
      </w:r>
      <w:proofErr w:type="spellStart"/>
      <w:r w:rsidRPr="00BA2C5F">
        <w:rPr>
          <w:rFonts w:ascii="Segoe UI" w:hAnsi="Segoe UI" w:cs="Segoe UI"/>
          <w:i/>
          <w:iCs/>
          <w:sz w:val="14"/>
        </w:rPr>
        <w:t>Cumberbatc</w:t>
      </w:r>
      <w:r>
        <w:rPr>
          <w:rFonts w:ascii="Segoe UI" w:hAnsi="Segoe UI" w:cs="Segoe UI"/>
          <w:i/>
          <w:iCs/>
          <w:sz w:val="14"/>
        </w:rPr>
        <w:t>h</w:t>
      </w:r>
      <w:proofErr w:type="spellEnd"/>
      <w:r>
        <w:rPr>
          <w:rFonts w:ascii="Segoe UI" w:hAnsi="Segoe UI" w:cs="Segoe UI"/>
          <w:i/>
          <w:iCs/>
          <w:sz w:val="14"/>
        </w:rPr>
        <w:t>.</w:t>
      </w:r>
    </w:p>
    <w:p w14:paraId="5B2BA16C" w14:textId="77777777" w:rsidR="00BA2C5F" w:rsidRDefault="00BA2C5F">
      <w:pPr>
        <w:spacing w:before="40" w:line="240" w:lineRule="auto"/>
        <w:jc w:val="both"/>
        <w:rPr>
          <w:rFonts w:ascii="Segoe UI" w:hAnsi="Segoe UI" w:cs="Segoe UI"/>
          <w:i/>
          <w:sz w:val="14"/>
        </w:rPr>
      </w:pPr>
    </w:p>
    <w:p w14:paraId="2C16574C" w14:textId="3888D999" w:rsidR="00624C99" w:rsidRDefault="00000000">
      <w:pPr>
        <w:spacing w:before="200" w:after="80" w:line="240" w:lineRule="auto"/>
        <w:rPr>
          <w:rFonts w:ascii="Segoe UI" w:hAnsi="Segoe UI" w:cs="Segoe UI"/>
          <w:b/>
          <w:sz w:val="20"/>
        </w:rPr>
      </w:pPr>
      <w:r>
        <w:rPr>
          <w:rFonts w:ascii="Segoe UI" w:hAnsi="Segoe UI" w:cs="Segoe UI"/>
          <w:b/>
          <w:sz w:val="20"/>
        </w:rPr>
        <w:t xml:space="preserve">Annexe </w:t>
      </w:r>
      <w:r w:rsidR="005C272E">
        <w:rPr>
          <w:rFonts w:ascii="Segoe UI" w:hAnsi="Segoe UI" w:cs="Segoe UI"/>
          <w:b/>
          <w:sz w:val="20"/>
        </w:rPr>
        <w:t>2</w:t>
      </w:r>
      <w:r>
        <w:rPr>
          <w:rFonts w:ascii="Segoe UI" w:hAnsi="Segoe UI" w:cs="Segoe UI"/>
          <w:b/>
          <w:sz w:val="20"/>
        </w:rPr>
        <w:t>. Les 100 premières sociétés cotées (LMD 100) : chiffre d’affaires et résultat net cumulés</w:t>
      </w:r>
    </w:p>
    <w:p w14:paraId="701FD97F" w14:textId="77777777" w:rsidR="00624C99" w:rsidRDefault="00000000">
      <w:pPr>
        <w:spacing w:before="60" w:after="20" w:line="240" w:lineRule="auto"/>
        <w:jc w:val="center"/>
      </w:pPr>
      <w:r>
        <w:rPr>
          <w:noProof/>
        </w:rPr>
        <w:drawing>
          <wp:inline distT="0" distB="0" distL="0" distR="0" wp14:anchorId="4A55A471" wp14:editId="5292588B">
            <wp:extent cx="5760000" cy="1900537"/>
            <wp:effectExtent l="0" t="0" r="0" b="0"/>
            <wp:docPr id="121" name="rI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rId21"/>
                    <pic:cNvPicPr/>
                  </pic:nvPicPr>
                  <pic:blipFill>
                    <a:blip r:embed="rId9"/>
                    <a:stretch>
                      <a:fillRect/>
                    </a:stretch>
                  </pic:blipFill>
                  <pic:spPr>
                    <a:xfrm>
                      <a:off x="0" y="0"/>
                      <a:ext cx="5760000" cy="1900537"/>
                    </a:xfrm>
                    <a:prstGeom prst="rect">
                      <a:avLst/>
                    </a:prstGeom>
                  </pic:spPr>
                </pic:pic>
              </a:graphicData>
            </a:graphic>
          </wp:inline>
        </w:drawing>
      </w:r>
    </w:p>
    <w:p w14:paraId="10E7C3A4" w14:textId="7A01E2AC" w:rsidR="00624C99" w:rsidRDefault="00000000">
      <w:pPr>
        <w:spacing w:before="40" w:line="240" w:lineRule="auto"/>
        <w:jc w:val="both"/>
        <w:rPr>
          <w:rFonts w:ascii="Segoe UI" w:hAnsi="Segoe UI" w:cs="Segoe UI"/>
          <w:i/>
          <w:sz w:val="14"/>
        </w:rPr>
      </w:pPr>
      <w:r>
        <w:rPr>
          <w:rFonts w:ascii="Segoe UI" w:hAnsi="Segoe UI" w:cs="Segoe UI"/>
          <w:i/>
          <w:sz w:val="14"/>
        </w:rPr>
        <w:t>Source : LMD 100, éditions 2022/23 à 2024/25 (Media Services, décembre 2025</w:t>
      </w:r>
      <w:r w:rsidR="009026D0">
        <w:rPr>
          <w:rFonts w:ascii="Segoe UI" w:hAnsi="Segoe UI" w:cs="Segoe UI"/>
          <w:i/>
          <w:sz w:val="14"/>
        </w:rPr>
        <w:t>).</w:t>
      </w:r>
    </w:p>
    <w:p w14:paraId="264930A3" w14:textId="15B2F66C" w:rsidR="00624C99" w:rsidRDefault="00000000">
      <w:pPr>
        <w:spacing w:before="200" w:after="80" w:line="240" w:lineRule="auto"/>
        <w:rPr>
          <w:rFonts w:ascii="Segoe UI" w:hAnsi="Segoe UI" w:cs="Segoe UI"/>
          <w:b/>
          <w:sz w:val="20"/>
        </w:rPr>
      </w:pPr>
      <w:r>
        <w:rPr>
          <w:rFonts w:ascii="Segoe UI" w:hAnsi="Segoe UI" w:cs="Segoe UI"/>
          <w:b/>
          <w:sz w:val="20"/>
        </w:rPr>
        <w:t xml:space="preserve">Annexe </w:t>
      </w:r>
      <w:r w:rsidR="005C272E">
        <w:rPr>
          <w:rFonts w:ascii="Segoe UI" w:hAnsi="Segoe UI" w:cs="Segoe UI"/>
          <w:b/>
          <w:sz w:val="20"/>
        </w:rPr>
        <w:t>3</w:t>
      </w:r>
      <w:r>
        <w:rPr>
          <w:rFonts w:ascii="Segoe UI" w:hAnsi="Segoe UI" w:cs="Segoe UI"/>
          <w:b/>
          <w:sz w:val="20"/>
        </w:rPr>
        <w:t xml:space="preserve">. </w:t>
      </w:r>
      <w:r w:rsidR="009026D0">
        <w:rPr>
          <w:rFonts w:ascii="Segoe UI" w:hAnsi="Segoe UI" w:cs="Segoe UI"/>
          <w:b/>
          <w:sz w:val="20"/>
        </w:rPr>
        <w:t>Résultat net cumulés des 51 principales entreprises publiques non financières et CEB</w:t>
      </w:r>
    </w:p>
    <w:p w14:paraId="60DBB0AF" w14:textId="77777777" w:rsidR="00624C99" w:rsidRDefault="00000000">
      <w:pPr>
        <w:spacing w:before="60" w:after="20" w:line="240" w:lineRule="auto"/>
        <w:jc w:val="center"/>
      </w:pPr>
      <w:r>
        <w:rPr>
          <w:noProof/>
        </w:rPr>
        <w:drawing>
          <wp:inline distT="0" distB="0" distL="0" distR="0" wp14:anchorId="535BB000" wp14:editId="7F7BD23A">
            <wp:extent cx="5760000" cy="1888859"/>
            <wp:effectExtent l="0" t="0" r="0" b="0"/>
            <wp:docPr id="122" name="rI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rId22"/>
                    <pic:cNvPicPr/>
                  </pic:nvPicPr>
                  <pic:blipFill>
                    <a:blip r:embed="rId10"/>
                    <a:stretch>
                      <a:fillRect/>
                    </a:stretch>
                  </pic:blipFill>
                  <pic:spPr>
                    <a:xfrm>
                      <a:off x="0" y="0"/>
                      <a:ext cx="5760000" cy="1888859"/>
                    </a:xfrm>
                    <a:prstGeom prst="rect">
                      <a:avLst/>
                    </a:prstGeom>
                  </pic:spPr>
                </pic:pic>
              </a:graphicData>
            </a:graphic>
          </wp:inline>
        </w:drawing>
      </w:r>
    </w:p>
    <w:p w14:paraId="1EB4712A" w14:textId="328BE6F3" w:rsidR="00F87B95" w:rsidRDefault="00000000">
      <w:pPr>
        <w:spacing w:before="40" w:line="240" w:lineRule="auto"/>
        <w:jc w:val="both"/>
        <w:rPr>
          <w:rFonts w:ascii="Segoe UI" w:hAnsi="Segoe UI" w:cs="Segoe UI"/>
          <w:i/>
          <w:sz w:val="14"/>
        </w:rPr>
      </w:pPr>
      <w:r>
        <w:rPr>
          <w:rFonts w:ascii="Segoe UI" w:hAnsi="Segoe UI" w:cs="Segoe UI"/>
          <w:i/>
          <w:sz w:val="14"/>
        </w:rPr>
        <w:t>Source : rapport annuel du Trésor sri-lankais sur les entreprises publiques (2026)</w:t>
      </w:r>
      <w:r w:rsidR="009026D0">
        <w:rPr>
          <w:rFonts w:ascii="Segoe UI" w:hAnsi="Segoe UI" w:cs="Segoe UI"/>
          <w:i/>
          <w:sz w:val="14"/>
        </w:rPr>
        <w:t>.</w:t>
      </w:r>
    </w:p>
    <w:sectPr w:rsidR="00F87B95" w:rsidSect="00544FB7">
      <w:footerReference w:type="default" r:id="rId11"/>
      <w:endnotePr>
        <w:numFmt w:val="decimal"/>
      </w:endnotePr>
      <w:pgSz w:w="11906" w:h="16838"/>
      <w:pgMar w:top="709" w:right="127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BC389" w14:textId="77777777" w:rsidR="00B91C91" w:rsidRDefault="00B91C91" w:rsidP="0044549D">
      <w:pPr>
        <w:spacing w:after="0" w:line="240" w:lineRule="auto"/>
      </w:pPr>
      <w:r>
        <w:separator/>
      </w:r>
    </w:p>
  </w:endnote>
  <w:endnote w:type="continuationSeparator" w:id="0">
    <w:p w14:paraId="08B8AE8F" w14:textId="77777777" w:rsidR="00B91C91" w:rsidRDefault="00B91C91" w:rsidP="0044549D">
      <w:pPr>
        <w:spacing w:after="0" w:line="240" w:lineRule="auto"/>
      </w:pPr>
      <w:r>
        <w:continuationSeparator/>
      </w:r>
    </w:p>
  </w:endnote>
  <w:endnote w:id="1">
    <w:p w14:paraId="779D4689" w14:textId="13C2BCD6" w:rsidR="00A12A21" w:rsidRPr="00A12A21" w:rsidRDefault="00A12A21">
      <w:pPr>
        <w:pStyle w:val="Notedefin"/>
      </w:pPr>
      <w:r>
        <w:rPr>
          <w:rStyle w:val="Appeldenotedefin"/>
        </w:rPr>
        <w:endnoteRef/>
      </w:r>
      <w:r>
        <w:t xml:space="preserve"> </w:t>
      </w:r>
      <w:r w:rsidRPr="00A12A21">
        <w:t>NPP (</w:t>
      </w:r>
      <w:r w:rsidRPr="00A12A21">
        <w:rPr>
          <w:i/>
          <w:iCs/>
        </w:rPr>
        <w:t xml:space="preserve">National </w:t>
      </w:r>
      <w:proofErr w:type="spellStart"/>
      <w:r w:rsidRPr="00A12A21">
        <w:rPr>
          <w:i/>
          <w:iCs/>
        </w:rPr>
        <w:t>People's</w:t>
      </w:r>
      <w:proofErr w:type="spellEnd"/>
      <w:r w:rsidRPr="00A12A21">
        <w:rPr>
          <w:i/>
          <w:iCs/>
        </w:rPr>
        <w:t xml:space="preserve"> Power</w:t>
      </w:r>
      <w:r w:rsidRPr="00A12A21">
        <w:t>) : coalition de gauche fondée en 2019 et dominée par le JVP (</w:t>
      </w:r>
      <w:proofErr w:type="spellStart"/>
      <w:r w:rsidRPr="00A12A21">
        <w:rPr>
          <w:i/>
          <w:iCs/>
        </w:rPr>
        <w:t>Janatha</w:t>
      </w:r>
      <w:proofErr w:type="spellEnd"/>
      <w:r w:rsidRPr="00A12A21">
        <w:rPr>
          <w:i/>
          <w:iCs/>
        </w:rPr>
        <w:t xml:space="preserve"> </w:t>
      </w:r>
      <w:proofErr w:type="spellStart"/>
      <w:r w:rsidRPr="00A12A21">
        <w:rPr>
          <w:i/>
          <w:iCs/>
        </w:rPr>
        <w:t>Vimukthi</w:t>
      </w:r>
      <w:proofErr w:type="spellEnd"/>
      <w:r w:rsidRPr="00A12A21">
        <w:rPr>
          <w:i/>
          <w:iCs/>
        </w:rPr>
        <w:t xml:space="preserve"> </w:t>
      </w:r>
      <w:proofErr w:type="spellStart"/>
      <w:r w:rsidRPr="00A12A21">
        <w:rPr>
          <w:i/>
          <w:iCs/>
        </w:rPr>
        <w:t>Peramuna</w:t>
      </w:r>
      <w:proofErr w:type="spellEnd"/>
      <w:r w:rsidRPr="00A12A21">
        <w:t>), parti d'</w:t>
      </w:r>
      <w:r>
        <w:t>inspiration</w:t>
      </w:r>
      <w:r w:rsidRPr="00A12A21">
        <w:t xml:space="preserve"> marxiste-léniniste.</w:t>
      </w:r>
    </w:p>
  </w:endnote>
  <w:endnote w:id="2">
    <w:p w14:paraId="63ECEC2C" w14:textId="2A3E0582" w:rsidR="00624C99" w:rsidRDefault="00000000">
      <w:pPr>
        <w:pStyle w:val="Notedefin"/>
      </w:pPr>
      <w:r>
        <w:rPr>
          <w:rStyle w:val="Appeldenotedefin"/>
        </w:rPr>
        <w:endnoteRef/>
      </w:r>
      <w:r>
        <w:t xml:space="preserve"> Classement des 100 premières sociétés cotées à la bourse de Colombo par chiffre d’affaires, publié chaque année par le magazine LMD (exercice 2024/25). Il exclut les grands groupes non cotés (MAS, </w:t>
      </w:r>
      <w:proofErr w:type="spellStart"/>
      <w:r>
        <w:t>Brandix</w:t>
      </w:r>
      <w:proofErr w:type="spellEnd"/>
      <w:r>
        <w:t xml:space="preserve">, </w:t>
      </w:r>
      <w:proofErr w:type="spellStart"/>
      <w:r>
        <w:t>Dilmah</w:t>
      </w:r>
      <w:proofErr w:type="spellEnd"/>
      <w:r>
        <w:t>) et les entreprises publiques non cotées.</w:t>
      </w:r>
    </w:p>
  </w:endnote>
  <w:endnote w:id="3">
    <w:p w14:paraId="6CA2A1FB" w14:textId="5DEBA338" w:rsidR="001B7146" w:rsidRPr="001B7146" w:rsidRDefault="001B7146">
      <w:pPr>
        <w:pStyle w:val="Notedefin"/>
      </w:pPr>
      <w:r>
        <w:rPr>
          <w:rStyle w:val="Appeldenotedefin"/>
        </w:rPr>
        <w:endnoteRef/>
      </w:r>
      <w:r>
        <w:t xml:space="preserve"> L</w:t>
      </w:r>
      <w:r w:rsidRPr="001B7146">
        <w:t xml:space="preserve">es montants en roupies </w:t>
      </w:r>
      <w:r>
        <w:t xml:space="preserve">sri-lankaises </w:t>
      </w:r>
      <w:r w:rsidRPr="001B7146">
        <w:t xml:space="preserve">sont convertis au taux moyen 2024-2025 </w:t>
      </w:r>
      <w:proofErr w:type="gramStart"/>
      <w:r w:rsidRPr="001B7146">
        <w:t>(</w:t>
      </w:r>
      <w:r w:rsidR="00071F75">
        <w:t xml:space="preserve"> environ</w:t>
      </w:r>
      <w:proofErr w:type="gramEnd"/>
      <w:r w:rsidR="00071F75">
        <w:t xml:space="preserve"> </w:t>
      </w:r>
      <w:r w:rsidRPr="001B7146">
        <w:t>300 LKR/USD</w:t>
      </w:r>
      <w:r>
        <w:t xml:space="preserve">). </w:t>
      </w:r>
      <w:r w:rsidRPr="001B7146">
        <w:t>La roupie s'est depuis dépréciée, autour de 335 LKR/USD à la mi-2026</w:t>
      </w:r>
      <w:r>
        <w:t>.</w:t>
      </w:r>
    </w:p>
  </w:endnote>
  <w:endnote w:id="4">
    <w:p w14:paraId="132D50E5" w14:textId="73610B8D" w:rsidR="00624C99" w:rsidRDefault="00000000">
      <w:pPr>
        <w:pStyle w:val="Notedefin"/>
      </w:pPr>
      <w:r>
        <w:rPr>
          <w:rStyle w:val="Appeldenotedefin"/>
        </w:rPr>
        <w:endnoteRef/>
      </w:r>
      <w:r>
        <w:t xml:space="preserve"> Reliance Industries</w:t>
      </w:r>
      <w:r w:rsidR="00F93901">
        <w:t>, premier groupe indien par les ventes,</w:t>
      </w:r>
      <w:r>
        <w:t xml:space="preserve"> a réalisé un chiffre d’affaires supérieur à 110 Mds USD sur l’exercice 2024/25. Le PIB sri-lankais s’établit à environ 100 Mds USD.</w:t>
      </w:r>
    </w:p>
  </w:endnote>
  <w:endnote w:id="5">
    <w:p w14:paraId="4C850CCD" w14:textId="387B4310" w:rsidR="00624C99" w:rsidRDefault="00000000">
      <w:pPr>
        <w:pStyle w:val="Notedefin"/>
      </w:pPr>
      <w:r>
        <w:rPr>
          <w:rStyle w:val="Appeldenotedefin"/>
        </w:rPr>
        <w:endnoteRef/>
      </w:r>
      <w:r>
        <w:t xml:space="preserve"> Estimation 2025. M. </w:t>
      </w:r>
      <w:proofErr w:type="spellStart"/>
      <w:r>
        <w:t>Nanayakkara</w:t>
      </w:r>
      <w:proofErr w:type="spellEnd"/>
      <w:r>
        <w:t xml:space="preserve"> a</w:t>
      </w:r>
      <w:r w:rsidR="00945251">
        <w:t>urait</w:t>
      </w:r>
      <w:r>
        <w:t xml:space="preserve"> ravi ce rang à </w:t>
      </w:r>
      <w:proofErr w:type="spellStart"/>
      <w:r>
        <w:t>Dhammika</w:t>
      </w:r>
      <w:proofErr w:type="spellEnd"/>
      <w:r>
        <w:t xml:space="preserve"> </w:t>
      </w:r>
      <w:proofErr w:type="spellStart"/>
      <w:r>
        <w:t>Perera</w:t>
      </w:r>
      <w:proofErr w:type="spellEnd"/>
      <w:r>
        <w:t>, homme d’affaires et ancien ministre de l’Investissement.</w:t>
      </w:r>
    </w:p>
  </w:endnote>
  <w:endnote w:id="6">
    <w:p w14:paraId="2748E360" w14:textId="77777777" w:rsidR="00624C99" w:rsidRDefault="00000000">
      <w:pPr>
        <w:pStyle w:val="Notedefin"/>
      </w:pPr>
      <w:r>
        <w:rPr>
          <w:rStyle w:val="Appeldenotedefin"/>
        </w:rPr>
        <w:endnoteRef/>
      </w:r>
      <w:r>
        <w:t xml:space="preserve"> Porté par l’envolée du fret aérien post-Covid, </w:t>
      </w:r>
      <w:proofErr w:type="spellStart"/>
      <w:r>
        <w:t>Expolanka</w:t>
      </w:r>
      <w:proofErr w:type="spellEnd"/>
      <w:r>
        <w:t xml:space="preserve"> fut le premier groupe coté du pays par le chiffre d’affaires en 2021/22 et 2022/23, avant son retrait de la cote en juin 2024 à l’initiative de son actionnaire majoritaire japonais SG Holdings.</w:t>
      </w:r>
    </w:p>
  </w:endnote>
  <w:endnote w:id="7">
    <w:p w14:paraId="6D6D57D2" w14:textId="6EA68789" w:rsidR="00A24743" w:rsidRPr="00A24743" w:rsidRDefault="00A24743">
      <w:pPr>
        <w:pStyle w:val="Notedefin"/>
      </w:pPr>
      <w:r>
        <w:rPr>
          <w:rStyle w:val="Appeldenotedefin"/>
        </w:rPr>
        <w:endnoteRef/>
      </w:r>
      <w:r>
        <w:t xml:space="preserve"> </w:t>
      </w:r>
      <w:r w:rsidRPr="00A24743">
        <w:t xml:space="preserve">Les activités internationales de LOLC reposent sur deux pôles. D'une part, les services financiers (microfinance, crédit-bail, financement des MSME), déployés à travers une vingtaine de filiales en Asie et en Afrique, qui constituent le cœur historique du groupe. D'autre part, le thé : LOLC est devenu en 2024 le premier producteur mondial après le rachat de James Finlay Kenya (2023), puis des plantations </w:t>
      </w:r>
      <w:proofErr w:type="spellStart"/>
      <w:r w:rsidRPr="00A24743">
        <w:t>est-africaines</w:t>
      </w:r>
      <w:proofErr w:type="spellEnd"/>
      <w:r w:rsidRPr="00A24743">
        <w:t xml:space="preserve"> de Lipton au Kenya, en Tanzanie et au Rwanda.</w:t>
      </w:r>
    </w:p>
  </w:endnote>
  <w:endnote w:id="8">
    <w:p w14:paraId="5B46EBED" w14:textId="2D816308" w:rsidR="00D148CC" w:rsidRPr="00D148CC" w:rsidRDefault="00D148CC">
      <w:pPr>
        <w:pStyle w:val="Notedefin"/>
      </w:pPr>
      <w:r>
        <w:rPr>
          <w:rStyle w:val="Appeldenotedefin"/>
        </w:rPr>
        <w:endnoteRef/>
      </w:r>
      <w:r>
        <w:t xml:space="preserve"> </w:t>
      </w:r>
      <w:r w:rsidRPr="00D148CC">
        <w:t xml:space="preserve">Principalement MAS Holdings, </w:t>
      </w:r>
      <w:proofErr w:type="spellStart"/>
      <w:r w:rsidRPr="00D148CC">
        <w:t>Brandix</w:t>
      </w:r>
      <w:proofErr w:type="spellEnd"/>
      <w:r w:rsidRPr="00D148CC">
        <w:t xml:space="preserve"> et </w:t>
      </w:r>
      <w:proofErr w:type="spellStart"/>
      <w:r w:rsidRPr="00D148CC">
        <w:t>Hirdaramani</w:t>
      </w:r>
      <w:proofErr w:type="spellEnd"/>
      <w:r w:rsidRPr="00D148CC">
        <w:t>, les trois premiers exportateurs du pays. MAS (</w:t>
      </w:r>
      <w:proofErr w:type="spellStart"/>
      <w:r w:rsidRPr="00D148CC">
        <w:t>Victoria's</w:t>
      </w:r>
      <w:proofErr w:type="spellEnd"/>
      <w:r w:rsidRPr="00D148CC">
        <w:t xml:space="preserve"> Secret, Nike) est implanté en Inde, au Bangladesh, au Vietnam, en Indonésie, en Jordanie, au Kenya et à Haïti ; </w:t>
      </w:r>
      <w:proofErr w:type="spellStart"/>
      <w:r w:rsidRPr="00D148CC">
        <w:t>Brandix</w:t>
      </w:r>
      <w:proofErr w:type="spellEnd"/>
      <w:r w:rsidRPr="00D148CC">
        <w:t xml:space="preserve"> en Inde, au Bangladesh et à Haïti ; </w:t>
      </w:r>
      <w:proofErr w:type="spellStart"/>
      <w:r w:rsidRPr="00D148CC">
        <w:t>Hirdaramani</w:t>
      </w:r>
      <w:proofErr w:type="spellEnd"/>
      <w:r w:rsidRPr="00D148CC">
        <w:t xml:space="preserve"> au Bangladesh, au Vietnam et en Éthiopie.</w:t>
      </w:r>
    </w:p>
  </w:endnote>
  <w:endnote w:id="9">
    <w:p w14:paraId="5F32A58F" w14:textId="5FF56A6B" w:rsidR="00624C99" w:rsidRDefault="00000000">
      <w:pPr>
        <w:pStyle w:val="Notedefin"/>
      </w:pPr>
      <w:r>
        <w:rPr>
          <w:rStyle w:val="Appeldenotedefin"/>
        </w:rPr>
        <w:endnoteRef/>
      </w:r>
      <w:r>
        <w:t xml:space="preserve"> Le Trésor sri-lankais ne publie de données de performance que pour les 52 plus grandes d’entre elles. Une dizaine concentre 95 % des actifs (CPC, CEB, SLPA, AASL, </w:t>
      </w:r>
      <w:proofErr w:type="spellStart"/>
      <w:r>
        <w:t>SriLankan</w:t>
      </w:r>
      <w:proofErr w:type="spellEnd"/>
      <w:r>
        <w:t xml:space="preserve"> Airlines, NWSDB, banques publiques, etc.).</w:t>
      </w:r>
    </w:p>
  </w:endnote>
  <w:endnote w:id="10">
    <w:p w14:paraId="35063A4A" w14:textId="1FA02A2C" w:rsidR="00624C99" w:rsidRDefault="00000000">
      <w:pPr>
        <w:pStyle w:val="Notedefin"/>
      </w:pPr>
      <w:r>
        <w:rPr>
          <w:rStyle w:val="Appeldenotedefin"/>
        </w:rPr>
        <w:endnoteRef/>
      </w:r>
      <w:r>
        <w:t xml:space="preserve"> Résultat net 2024 : 36,6 Mds LKR. La CPC avait bénéficié fin 2022 d’une recapitalisation de 884 Mds LKR, l’État ayant repris les dettes accumulées lors de l’effondrement de la roupie.</w:t>
      </w:r>
    </w:p>
  </w:endnote>
  <w:endnote w:id="11">
    <w:p w14:paraId="7C401258" w14:textId="4C4F3CC6" w:rsidR="00A24743" w:rsidRPr="00A24743" w:rsidRDefault="00A24743">
      <w:pPr>
        <w:pStyle w:val="Notedefin"/>
      </w:pPr>
      <w:r>
        <w:rPr>
          <w:rStyle w:val="Appeldenotedefin"/>
        </w:rPr>
        <w:endnoteRef/>
      </w:r>
      <w:r>
        <w:t xml:space="preserve"> </w:t>
      </w:r>
      <w:proofErr w:type="spellStart"/>
      <w:r w:rsidR="00D148CC" w:rsidRPr="00D148CC">
        <w:t>Sinopec</w:t>
      </w:r>
      <w:proofErr w:type="spellEnd"/>
      <w:r w:rsidR="00D148CC" w:rsidRPr="00D148CC">
        <w:t xml:space="preserve"> (Chine), United Petroleum (Australie) et RM Parks/Shell (États-Unis) se sont vu attribuer des licences de distribution de carburants en 2023-2024, mettant fin au duopole CPC–Lanka IOC. United Petroleum s'est toutefois retiré du marché dès décembre 2024, ses stations ayant été reprises par la CPC</w:t>
      </w:r>
      <w:r w:rsidR="00D148CC">
        <w:t>.</w:t>
      </w:r>
    </w:p>
  </w:endnote>
  <w:endnote w:id="12">
    <w:p w14:paraId="63A84F81" w14:textId="5FA2C4CA" w:rsidR="004228E0" w:rsidRPr="004228E0" w:rsidRDefault="004228E0">
      <w:pPr>
        <w:pStyle w:val="Notedefin"/>
      </w:pPr>
      <w:r>
        <w:rPr>
          <w:rStyle w:val="Appeldenotedefin"/>
        </w:rPr>
        <w:endnoteRef/>
      </w:r>
      <w:r>
        <w:t xml:space="preserve"> </w:t>
      </w:r>
      <w:r w:rsidRPr="004228E0">
        <w:t xml:space="preserve">Michelin figure parmi les principaux employeurs privés du pays (de l'ordre de </w:t>
      </w:r>
      <w:r>
        <w:t xml:space="preserve">3 </w:t>
      </w:r>
      <w:r w:rsidR="00945251">
        <w:t>0</w:t>
      </w:r>
      <w:r>
        <w:t>00</w:t>
      </w:r>
      <w:r w:rsidRPr="004228E0">
        <w:t xml:space="preserve"> salariés). </w:t>
      </w:r>
    </w:p>
  </w:endnote>
  <w:endnote w:id="13">
    <w:p w14:paraId="4AF6EC78" w14:textId="106498E0" w:rsidR="00624C99" w:rsidRDefault="00000000">
      <w:pPr>
        <w:pStyle w:val="Notedefin"/>
      </w:pPr>
      <w:r>
        <w:rPr>
          <w:rStyle w:val="Appeldenotedefin"/>
        </w:rPr>
        <w:endnoteRef/>
      </w:r>
      <w:r w:rsidRPr="00E17E3E">
        <w:t xml:space="preserve"> </w:t>
      </w:r>
      <w:r>
        <w:t xml:space="preserve">Sur l’ensemble de l’année 2025, le bénéfice cumulé des 51 principales entreprises publiques non financières a reculé de 17 %, à 444 Mds LKR (voir annexe </w:t>
      </w:r>
      <w:r w:rsidR="00F1231B">
        <w:t>3</w:t>
      </w:r>
      <w:r>
        <w:t>).</w:t>
      </w:r>
    </w:p>
  </w:endnote>
  <w:endnote w:id="14">
    <w:p w14:paraId="441E6B9A" w14:textId="2884418F" w:rsidR="00624C99" w:rsidRDefault="00000000">
      <w:pPr>
        <w:pStyle w:val="Notedefin"/>
      </w:pPr>
      <w:r>
        <w:rPr>
          <w:rStyle w:val="Appeldenotedefin"/>
        </w:rPr>
        <w:endnoteRef/>
      </w:r>
      <w:r>
        <w:t xml:space="preserve"> Rapport annuel 2024/25 de </w:t>
      </w:r>
      <w:proofErr w:type="spellStart"/>
      <w:r>
        <w:t>SriLankan</w:t>
      </w:r>
      <w:proofErr w:type="spellEnd"/>
      <w:r>
        <w:t xml:space="preserve"> Airlines : perte nette de 2,7 Mds LKR, pertes accumulées de 596 Mds LKR (</w:t>
      </w:r>
      <w:r w:rsidR="00A24743">
        <w:t xml:space="preserve">environ </w:t>
      </w:r>
      <w:r>
        <w:t>1,55 Md EUR).</w:t>
      </w:r>
    </w:p>
  </w:endnote>
  <w:endnote w:id="15">
    <w:p w14:paraId="60485A8D" w14:textId="0FC1FB02" w:rsidR="004239AD" w:rsidRPr="004239AD" w:rsidRDefault="004239AD">
      <w:pPr>
        <w:pStyle w:val="Notedefin"/>
      </w:pPr>
      <w:r>
        <w:rPr>
          <w:rStyle w:val="Appeldenotedefin"/>
        </w:rPr>
        <w:endnoteRef/>
      </w:r>
      <w:r>
        <w:t xml:space="preserve"> </w:t>
      </w:r>
      <w:r w:rsidRPr="004239AD">
        <w:t>SOERU (</w:t>
      </w:r>
      <w:r w:rsidRPr="004239AD">
        <w:rPr>
          <w:i/>
          <w:iCs/>
        </w:rPr>
        <w:t>State-</w:t>
      </w:r>
      <w:proofErr w:type="spellStart"/>
      <w:r w:rsidRPr="004239AD">
        <w:rPr>
          <w:i/>
          <w:iCs/>
        </w:rPr>
        <w:t>Owned</w:t>
      </w:r>
      <w:proofErr w:type="spellEnd"/>
      <w:r w:rsidRPr="004239AD">
        <w:rPr>
          <w:i/>
          <w:iCs/>
        </w:rPr>
        <w:t xml:space="preserve"> Enterprise </w:t>
      </w:r>
      <w:proofErr w:type="spellStart"/>
      <w:r w:rsidRPr="004239AD">
        <w:rPr>
          <w:i/>
          <w:iCs/>
        </w:rPr>
        <w:t>Restructuring</w:t>
      </w:r>
      <w:proofErr w:type="spellEnd"/>
      <w:r w:rsidRPr="004239AD">
        <w:rPr>
          <w:i/>
          <w:iCs/>
        </w:rPr>
        <w:t xml:space="preserve"> Unit</w:t>
      </w:r>
      <w:r w:rsidRPr="004239AD">
        <w:t>) : unité rattachée au ministère des Finances, créée en 2022 pour conduire la privatisation et la restructuration des entreprises publiques au titre du programme du FMI, avant sa mise à l'arrêt par le gouvernement NPP.</w:t>
      </w:r>
    </w:p>
  </w:endnote>
  <w:endnote w:id="16">
    <w:p w14:paraId="5E12C4FE" w14:textId="77777777" w:rsidR="00624C99" w:rsidRDefault="00000000">
      <w:pPr>
        <w:pStyle w:val="Notedefin"/>
      </w:pPr>
      <w:r>
        <w:rPr>
          <w:rStyle w:val="Appeldenotedefin"/>
        </w:rPr>
        <w:endnoteRef/>
      </w:r>
      <w:r>
        <w:t xml:space="preserve"> Accord conclu en mars 2026 avec un groupe « ad hoc » de porteurs représentant 55 % de cette émission obligataire garantie par l’État. Les négociations finales avec les créanciers restants se poursuivaient mi-2026.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689567"/>
      <w:docPartObj>
        <w:docPartGallery w:val="Page Numbers (Bottom of Page)"/>
        <w:docPartUnique/>
      </w:docPartObj>
    </w:sdtPr>
    <w:sdtContent>
      <w:p w14:paraId="4F3F2836" w14:textId="77777777" w:rsidR="00271AE9" w:rsidRDefault="00271AE9">
        <w:pPr>
          <w:pStyle w:val="Pieddepage"/>
          <w:jc w:val="right"/>
        </w:pPr>
        <w:r>
          <w:fldChar w:fldCharType="begin"/>
        </w:r>
        <w:r>
          <w:instrText>PAGE   \* MERGEFORMAT</w:instrText>
        </w:r>
        <w:r>
          <w:fldChar w:fldCharType="separate"/>
        </w:r>
        <w:r>
          <w:t>2</w:t>
        </w:r>
        <w:r>
          <w:fldChar w:fldCharType="end"/>
        </w:r>
      </w:p>
    </w:sdtContent>
  </w:sdt>
  <w:p w14:paraId="44F67110" w14:textId="77777777" w:rsidR="00271AE9" w:rsidRDefault="00271A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6F566" w14:textId="77777777" w:rsidR="00B91C91" w:rsidRDefault="00B91C91" w:rsidP="0044549D">
      <w:pPr>
        <w:spacing w:after="0" w:line="240" w:lineRule="auto"/>
      </w:pPr>
      <w:r>
        <w:separator/>
      </w:r>
    </w:p>
  </w:footnote>
  <w:footnote w:type="continuationSeparator" w:id="0">
    <w:p w14:paraId="0A0A8F26" w14:textId="77777777" w:rsidR="00B91C91" w:rsidRDefault="00B91C91" w:rsidP="00445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E0F9F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8B793D"/>
    <w:multiLevelType w:val="hybridMultilevel"/>
    <w:tmpl w:val="C6A64B46"/>
    <w:lvl w:ilvl="0" w:tplc="040C0001">
      <w:start w:val="1"/>
      <w:numFmt w:val="bullet"/>
      <w:lvlText w:val=""/>
      <w:lvlJc w:val="left"/>
      <w:pPr>
        <w:ind w:left="437" w:hanging="360"/>
      </w:pPr>
      <w:rPr>
        <w:rFonts w:ascii="Symbol" w:hAnsi="Symbol" w:hint="default"/>
      </w:rPr>
    </w:lvl>
    <w:lvl w:ilvl="1" w:tplc="040C0003" w:tentative="1">
      <w:start w:val="1"/>
      <w:numFmt w:val="bullet"/>
      <w:lvlText w:val="o"/>
      <w:lvlJc w:val="left"/>
      <w:pPr>
        <w:ind w:left="1157" w:hanging="360"/>
      </w:pPr>
      <w:rPr>
        <w:rFonts w:ascii="Courier New" w:hAnsi="Courier New" w:cs="Courier New" w:hint="default"/>
      </w:rPr>
    </w:lvl>
    <w:lvl w:ilvl="2" w:tplc="040C0005" w:tentative="1">
      <w:start w:val="1"/>
      <w:numFmt w:val="bullet"/>
      <w:lvlText w:val=""/>
      <w:lvlJc w:val="left"/>
      <w:pPr>
        <w:ind w:left="1877" w:hanging="360"/>
      </w:pPr>
      <w:rPr>
        <w:rFonts w:ascii="Wingdings" w:hAnsi="Wingdings" w:hint="default"/>
      </w:rPr>
    </w:lvl>
    <w:lvl w:ilvl="3" w:tplc="040C0001" w:tentative="1">
      <w:start w:val="1"/>
      <w:numFmt w:val="bullet"/>
      <w:lvlText w:val=""/>
      <w:lvlJc w:val="left"/>
      <w:pPr>
        <w:ind w:left="2597" w:hanging="360"/>
      </w:pPr>
      <w:rPr>
        <w:rFonts w:ascii="Symbol" w:hAnsi="Symbol" w:hint="default"/>
      </w:rPr>
    </w:lvl>
    <w:lvl w:ilvl="4" w:tplc="040C0003" w:tentative="1">
      <w:start w:val="1"/>
      <w:numFmt w:val="bullet"/>
      <w:lvlText w:val="o"/>
      <w:lvlJc w:val="left"/>
      <w:pPr>
        <w:ind w:left="3317" w:hanging="360"/>
      </w:pPr>
      <w:rPr>
        <w:rFonts w:ascii="Courier New" w:hAnsi="Courier New" w:cs="Courier New" w:hint="default"/>
      </w:rPr>
    </w:lvl>
    <w:lvl w:ilvl="5" w:tplc="040C0005" w:tentative="1">
      <w:start w:val="1"/>
      <w:numFmt w:val="bullet"/>
      <w:lvlText w:val=""/>
      <w:lvlJc w:val="left"/>
      <w:pPr>
        <w:ind w:left="4037" w:hanging="360"/>
      </w:pPr>
      <w:rPr>
        <w:rFonts w:ascii="Wingdings" w:hAnsi="Wingdings" w:hint="default"/>
      </w:rPr>
    </w:lvl>
    <w:lvl w:ilvl="6" w:tplc="040C0001" w:tentative="1">
      <w:start w:val="1"/>
      <w:numFmt w:val="bullet"/>
      <w:lvlText w:val=""/>
      <w:lvlJc w:val="left"/>
      <w:pPr>
        <w:ind w:left="4757" w:hanging="360"/>
      </w:pPr>
      <w:rPr>
        <w:rFonts w:ascii="Symbol" w:hAnsi="Symbol" w:hint="default"/>
      </w:rPr>
    </w:lvl>
    <w:lvl w:ilvl="7" w:tplc="040C0003" w:tentative="1">
      <w:start w:val="1"/>
      <w:numFmt w:val="bullet"/>
      <w:lvlText w:val="o"/>
      <w:lvlJc w:val="left"/>
      <w:pPr>
        <w:ind w:left="5477" w:hanging="360"/>
      </w:pPr>
      <w:rPr>
        <w:rFonts w:ascii="Courier New" w:hAnsi="Courier New" w:cs="Courier New" w:hint="default"/>
      </w:rPr>
    </w:lvl>
    <w:lvl w:ilvl="8" w:tplc="040C0005" w:tentative="1">
      <w:start w:val="1"/>
      <w:numFmt w:val="bullet"/>
      <w:lvlText w:val=""/>
      <w:lvlJc w:val="left"/>
      <w:pPr>
        <w:ind w:left="6197" w:hanging="360"/>
      </w:pPr>
      <w:rPr>
        <w:rFonts w:ascii="Wingdings" w:hAnsi="Wingdings" w:hint="default"/>
      </w:rPr>
    </w:lvl>
  </w:abstractNum>
  <w:abstractNum w:abstractNumId="2" w15:restartNumberingAfterBreak="0">
    <w:nsid w:val="12C36F2D"/>
    <w:multiLevelType w:val="hybridMultilevel"/>
    <w:tmpl w:val="C6B00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5D7A9E"/>
    <w:multiLevelType w:val="hybridMultilevel"/>
    <w:tmpl w:val="8BB8A7DC"/>
    <w:lvl w:ilvl="0" w:tplc="FD9A910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EA3AB0"/>
    <w:multiLevelType w:val="hybridMultilevel"/>
    <w:tmpl w:val="3D3466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243624"/>
    <w:multiLevelType w:val="hybridMultilevel"/>
    <w:tmpl w:val="7FC40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B12060"/>
    <w:multiLevelType w:val="multilevel"/>
    <w:tmpl w:val="67FCBCCA"/>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7" w15:restartNumberingAfterBreak="0">
    <w:nsid w:val="39867D08"/>
    <w:multiLevelType w:val="hybridMultilevel"/>
    <w:tmpl w:val="DB56F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EA151F"/>
    <w:multiLevelType w:val="multilevel"/>
    <w:tmpl w:val="09E8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81D60"/>
    <w:multiLevelType w:val="multilevel"/>
    <w:tmpl w:val="260C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A07A1"/>
    <w:multiLevelType w:val="hybridMultilevel"/>
    <w:tmpl w:val="DE5AB7EC"/>
    <w:lvl w:ilvl="0" w:tplc="9DC287B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136E72"/>
    <w:multiLevelType w:val="hybridMultilevel"/>
    <w:tmpl w:val="D0B2D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D72EA1"/>
    <w:multiLevelType w:val="hybridMultilevel"/>
    <w:tmpl w:val="AE662ED0"/>
    <w:lvl w:ilvl="0" w:tplc="DAB60A48">
      <w:numFmt w:val="bullet"/>
      <w:lvlText w:val="-"/>
      <w:lvlJc w:val="left"/>
      <w:pPr>
        <w:ind w:left="77" w:hanging="360"/>
      </w:pPr>
      <w:rPr>
        <w:rFonts w:ascii="Segoe UI" w:eastAsiaTheme="minorHAnsi" w:hAnsi="Segoe UI" w:cs="Segoe UI"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3" w15:restartNumberingAfterBreak="0">
    <w:nsid w:val="54D37D1E"/>
    <w:multiLevelType w:val="hybridMultilevel"/>
    <w:tmpl w:val="9E2A602E"/>
    <w:lvl w:ilvl="0" w:tplc="2648EE60">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591F49"/>
    <w:multiLevelType w:val="hybridMultilevel"/>
    <w:tmpl w:val="46ACC3AC"/>
    <w:lvl w:ilvl="0" w:tplc="C21C631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340F34"/>
    <w:multiLevelType w:val="hybridMultilevel"/>
    <w:tmpl w:val="3FEA62E0"/>
    <w:lvl w:ilvl="0" w:tplc="EC68F6B0">
      <w:numFmt w:val="bullet"/>
      <w:lvlText w:val=""/>
      <w:lvlJc w:val="left"/>
      <w:pPr>
        <w:ind w:left="77" w:hanging="360"/>
      </w:pPr>
      <w:rPr>
        <w:rFonts w:ascii="Symbol" w:eastAsiaTheme="minorHAnsi" w:hAnsi="Symbol" w:cs="Segoe UI"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6" w15:restartNumberingAfterBreak="0">
    <w:nsid w:val="641A187F"/>
    <w:multiLevelType w:val="hybridMultilevel"/>
    <w:tmpl w:val="918403C6"/>
    <w:lvl w:ilvl="0" w:tplc="472830D4">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E47CD2"/>
    <w:multiLevelType w:val="hybridMultilevel"/>
    <w:tmpl w:val="AECAE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062645"/>
    <w:multiLevelType w:val="hybridMultilevel"/>
    <w:tmpl w:val="584E08C0"/>
    <w:lvl w:ilvl="0" w:tplc="D77677AA">
      <w:start w:val="1"/>
      <w:numFmt w:val="upperRoman"/>
      <w:lvlText w:val="%1."/>
      <w:lvlJc w:val="left"/>
      <w:pPr>
        <w:ind w:left="437" w:hanging="72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19" w15:restartNumberingAfterBreak="0">
    <w:nsid w:val="6BC2355F"/>
    <w:multiLevelType w:val="hybridMultilevel"/>
    <w:tmpl w:val="D388A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382FB0"/>
    <w:multiLevelType w:val="hybridMultilevel"/>
    <w:tmpl w:val="7242E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1492960">
    <w:abstractNumId w:val="14"/>
  </w:num>
  <w:num w:numId="2" w16cid:durableId="1593277835">
    <w:abstractNumId w:val="10"/>
  </w:num>
  <w:num w:numId="3" w16cid:durableId="44374372">
    <w:abstractNumId w:val="3"/>
  </w:num>
  <w:num w:numId="4" w16cid:durableId="642346079">
    <w:abstractNumId w:val="4"/>
  </w:num>
  <w:num w:numId="5" w16cid:durableId="761753939">
    <w:abstractNumId w:val="16"/>
  </w:num>
  <w:num w:numId="6" w16cid:durableId="1418868346">
    <w:abstractNumId w:val="13"/>
  </w:num>
  <w:num w:numId="7" w16cid:durableId="2057508743">
    <w:abstractNumId w:val="15"/>
  </w:num>
  <w:num w:numId="8" w16cid:durableId="1887449499">
    <w:abstractNumId w:val="9"/>
  </w:num>
  <w:num w:numId="9" w16cid:durableId="1259945340">
    <w:abstractNumId w:val="6"/>
  </w:num>
  <w:num w:numId="10" w16cid:durableId="1228342563">
    <w:abstractNumId w:val="12"/>
  </w:num>
  <w:num w:numId="11" w16cid:durableId="768742014">
    <w:abstractNumId w:val="18"/>
  </w:num>
  <w:num w:numId="12" w16cid:durableId="2041278913">
    <w:abstractNumId w:val="1"/>
  </w:num>
  <w:num w:numId="13" w16cid:durableId="431555425">
    <w:abstractNumId w:val="0"/>
  </w:num>
  <w:num w:numId="14" w16cid:durableId="1867479098">
    <w:abstractNumId w:val="17"/>
  </w:num>
  <w:num w:numId="15" w16cid:durableId="1246839369">
    <w:abstractNumId w:val="19"/>
  </w:num>
  <w:num w:numId="16" w16cid:durableId="98182457">
    <w:abstractNumId w:val="7"/>
  </w:num>
  <w:num w:numId="17" w16cid:durableId="354425125">
    <w:abstractNumId w:val="20"/>
  </w:num>
  <w:num w:numId="18" w16cid:durableId="2031371964">
    <w:abstractNumId w:val="5"/>
  </w:num>
  <w:num w:numId="19" w16cid:durableId="488904958">
    <w:abstractNumId w:val="11"/>
  </w:num>
  <w:num w:numId="20" w16cid:durableId="668025520">
    <w:abstractNumId w:val="2"/>
  </w:num>
  <w:num w:numId="21" w16cid:durableId="1109354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CD"/>
    <w:rsid w:val="000008D1"/>
    <w:rsid w:val="00003DBC"/>
    <w:rsid w:val="00003E53"/>
    <w:rsid w:val="000047D8"/>
    <w:rsid w:val="00004802"/>
    <w:rsid w:val="000054C8"/>
    <w:rsid w:val="0000603E"/>
    <w:rsid w:val="00006F4D"/>
    <w:rsid w:val="00007380"/>
    <w:rsid w:val="00007CCA"/>
    <w:rsid w:val="00007FB3"/>
    <w:rsid w:val="0001094A"/>
    <w:rsid w:val="0001137A"/>
    <w:rsid w:val="00011A27"/>
    <w:rsid w:val="0001387D"/>
    <w:rsid w:val="00013BB4"/>
    <w:rsid w:val="00015AB8"/>
    <w:rsid w:val="00017933"/>
    <w:rsid w:val="00020080"/>
    <w:rsid w:val="00020E5A"/>
    <w:rsid w:val="00025944"/>
    <w:rsid w:val="00026F8E"/>
    <w:rsid w:val="000270D1"/>
    <w:rsid w:val="00027537"/>
    <w:rsid w:val="000279FB"/>
    <w:rsid w:val="00031ABD"/>
    <w:rsid w:val="00032BC4"/>
    <w:rsid w:val="00032D70"/>
    <w:rsid w:val="000332BB"/>
    <w:rsid w:val="00034A54"/>
    <w:rsid w:val="0003591D"/>
    <w:rsid w:val="000370D1"/>
    <w:rsid w:val="000373B1"/>
    <w:rsid w:val="00037601"/>
    <w:rsid w:val="00040031"/>
    <w:rsid w:val="00041703"/>
    <w:rsid w:val="00041B79"/>
    <w:rsid w:val="00041F07"/>
    <w:rsid w:val="00043862"/>
    <w:rsid w:val="0004481C"/>
    <w:rsid w:val="00045525"/>
    <w:rsid w:val="000457D4"/>
    <w:rsid w:val="0004694B"/>
    <w:rsid w:val="0005016F"/>
    <w:rsid w:val="000509B4"/>
    <w:rsid w:val="00051DA5"/>
    <w:rsid w:val="00053357"/>
    <w:rsid w:val="00053847"/>
    <w:rsid w:val="000551E6"/>
    <w:rsid w:val="00056160"/>
    <w:rsid w:val="00057B68"/>
    <w:rsid w:val="000605C8"/>
    <w:rsid w:val="000606E0"/>
    <w:rsid w:val="00061DD3"/>
    <w:rsid w:val="00062050"/>
    <w:rsid w:val="00062211"/>
    <w:rsid w:val="00063B0F"/>
    <w:rsid w:val="00063B61"/>
    <w:rsid w:val="00063B95"/>
    <w:rsid w:val="00064AB6"/>
    <w:rsid w:val="00064C11"/>
    <w:rsid w:val="00065CCD"/>
    <w:rsid w:val="00066AE1"/>
    <w:rsid w:val="000675C5"/>
    <w:rsid w:val="00067D03"/>
    <w:rsid w:val="000703FB"/>
    <w:rsid w:val="000708C4"/>
    <w:rsid w:val="00070B01"/>
    <w:rsid w:val="00070E5D"/>
    <w:rsid w:val="00070FEE"/>
    <w:rsid w:val="00071F75"/>
    <w:rsid w:val="00072111"/>
    <w:rsid w:val="000729AF"/>
    <w:rsid w:val="00072FA4"/>
    <w:rsid w:val="00075C07"/>
    <w:rsid w:val="000806AB"/>
    <w:rsid w:val="00080DCC"/>
    <w:rsid w:val="0008198A"/>
    <w:rsid w:val="00082479"/>
    <w:rsid w:val="00083F79"/>
    <w:rsid w:val="0008404D"/>
    <w:rsid w:val="0008457C"/>
    <w:rsid w:val="00084988"/>
    <w:rsid w:val="00086C93"/>
    <w:rsid w:val="000873D5"/>
    <w:rsid w:val="00087688"/>
    <w:rsid w:val="0009098C"/>
    <w:rsid w:val="00091A42"/>
    <w:rsid w:val="00092E54"/>
    <w:rsid w:val="00093F04"/>
    <w:rsid w:val="00094A32"/>
    <w:rsid w:val="000956AA"/>
    <w:rsid w:val="00095AAC"/>
    <w:rsid w:val="00096278"/>
    <w:rsid w:val="000972B0"/>
    <w:rsid w:val="000A3449"/>
    <w:rsid w:val="000A3FDB"/>
    <w:rsid w:val="000A4E0C"/>
    <w:rsid w:val="000A561E"/>
    <w:rsid w:val="000A5869"/>
    <w:rsid w:val="000A59DB"/>
    <w:rsid w:val="000A62E2"/>
    <w:rsid w:val="000A6B6F"/>
    <w:rsid w:val="000A6FE9"/>
    <w:rsid w:val="000B02A7"/>
    <w:rsid w:val="000B0329"/>
    <w:rsid w:val="000B0B32"/>
    <w:rsid w:val="000B1AF9"/>
    <w:rsid w:val="000B2C6C"/>
    <w:rsid w:val="000B34E3"/>
    <w:rsid w:val="000B3CA1"/>
    <w:rsid w:val="000B6591"/>
    <w:rsid w:val="000B6ED8"/>
    <w:rsid w:val="000C1664"/>
    <w:rsid w:val="000C19B0"/>
    <w:rsid w:val="000C3D96"/>
    <w:rsid w:val="000C41C2"/>
    <w:rsid w:val="000C701D"/>
    <w:rsid w:val="000D25E9"/>
    <w:rsid w:val="000D2DDF"/>
    <w:rsid w:val="000D2FC5"/>
    <w:rsid w:val="000D316D"/>
    <w:rsid w:val="000D368F"/>
    <w:rsid w:val="000D4414"/>
    <w:rsid w:val="000D4D9F"/>
    <w:rsid w:val="000D5476"/>
    <w:rsid w:val="000E0EE3"/>
    <w:rsid w:val="000E1AB8"/>
    <w:rsid w:val="000E29C7"/>
    <w:rsid w:val="000E2F56"/>
    <w:rsid w:val="000E3282"/>
    <w:rsid w:val="000E32E1"/>
    <w:rsid w:val="000E39FD"/>
    <w:rsid w:val="000E4264"/>
    <w:rsid w:val="000E6699"/>
    <w:rsid w:val="000E6EBC"/>
    <w:rsid w:val="000F00A7"/>
    <w:rsid w:val="000F078E"/>
    <w:rsid w:val="000F0E03"/>
    <w:rsid w:val="000F0F31"/>
    <w:rsid w:val="000F2088"/>
    <w:rsid w:val="000F3020"/>
    <w:rsid w:val="000F5272"/>
    <w:rsid w:val="000F5DA8"/>
    <w:rsid w:val="000F695D"/>
    <w:rsid w:val="000F6A54"/>
    <w:rsid w:val="001003B5"/>
    <w:rsid w:val="001030F4"/>
    <w:rsid w:val="001038EF"/>
    <w:rsid w:val="00103F51"/>
    <w:rsid w:val="001043FC"/>
    <w:rsid w:val="001058C9"/>
    <w:rsid w:val="00106A21"/>
    <w:rsid w:val="001073A8"/>
    <w:rsid w:val="001073D9"/>
    <w:rsid w:val="00110762"/>
    <w:rsid w:val="0011087C"/>
    <w:rsid w:val="00111ED8"/>
    <w:rsid w:val="001122DE"/>
    <w:rsid w:val="00113904"/>
    <w:rsid w:val="00113F0E"/>
    <w:rsid w:val="001140DC"/>
    <w:rsid w:val="00114465"/>
    <w:rsid w:val="00114993"/>
    <w:rsid w:val="001149AD"/>
    <w:rsid w:val="00114AA9"/>
    <w:rsid w:val="00115B88"/>
    <w:rsid w:val="00116252"/>
    <w:rsid w:val="001168C9"/>
    <w:rsid w:val="001178E4"/>
    <w:rsid w:val="001178FE"/>
    <w:rsid w:val="00117E00"/>
    <w:rsid w:val="001204C6"/>
    <w:rsid w:val="0012106A"/>
    <w:rsid w:val="001210E9"/>
    <w:rsid w:val="00122B2D"/>
    <w:rsid w:val="00123C1E"/>
    <w:rsid w:val="00127A10"/>
    <w:rsid w:val="00127B70"/>
    <w:rsid w:val="00131CA0"/>
    <w:rsid w:val="001330E1"/>
    <w:rsid w:val="00133520"/>
    <w:rsid w:val="001363B2"/>
    <w:rsid w:val="00137290"/>
    <w:rsid w:val="00137837"/>
    <w:rsid w:val="00137892"/>
    <w:rsid w:val="00137DFB"/>
    <w:rsid w:val="0014267D"/>
    <w:rsid w:val="00142C9C"/>
    <w:rsid w:val="00142FC4"/>
    <w:rsid w:val="0014377A"/>
    <w:rsid w:val="00144AA3"/>
    <w:rsid w:val="001452E4"/>
    <w:rsid w:val="00146922"/>
    <w:rsid w:val="00150786"/>
    <w:rsid w:val="00151694"/>
    <w:rsid w:val="00152574"/>
    <w:rsid w:val="00153C46"/>
    <w:rsid w:val="00157439"/>
    <w:rsid w:val="00157C81"/>
    <w:rsid w:val="00157E30"/>
    <w:rsid w:val="00157E33"/>
    <w:rsid w:val="00160A29"/>
    <w:rsid w:val="00162D53"/>
    <w:rsid w:val="00164220"/>
    <w:rsid w:val="00164609"/>
    <w:rsid w:val="001648F3"/>
    <w:rsid w:val="00164A77"/>
    <w:rsid w:val="0016542A"/>
    <w:rsid w:val="00166543"/>
    <w:rsid w:val="0016713E"/>
    <w:rsid w:val="001703C4"/>
    <w:rsid w:val="001705C2"/>
    <w:rsid w:val="00172F1B"/>
    <w:rsid w:val="00173FD2"/>
    <w:rsid w:val="00175286"/>
    <w:rsid w:val="0017559B"/>
    <w:rsid w:val="001759C2"/>
    <w:rsid w:val="00175C21"/>
    <w:rsid w:val="00175DBA"/>
    <w:rsid w:val="001761C1"/>
    <w:rsid w:val="001763C5"/>
    <w:rsid w:val="0018012F"/>
    <w:rsid w:val="00180385"/>
    <w:rsid w:val="00180998"/>
    <w:rsid w:val="00180EE6"/>
    <w:rsid w:val="0018193D"/>
    <w:rsid w:val="00181996"/>
    <w:rsid w:val="00182D73"/>
    <w:rsid w:val="001832FE"/>
    <w:rsid w:val="00185205"/>
    <w:rsid w:val="0018628F"/>
    <w:rsid w:val="00186370"/>
    <w:rsid w:val="00186468"/>
    <w:rsid w:val="001873EF"/>
    <w:rsid w:val="001879A2"/>
    <w:rsid w:val="00190ABA"/>
    <w:rsid w:val="00191679"/>
    <w:rsid w:val="00191B11"/>
    <w:rsid w:val="001928B3"/>
    <w:rsid w:val="001939E5"/>
    <w:rsid w:val="00193E4A"/>
    <w:rsid w:val="00194B35"/>
    <w:rsid w:val="001977BE"/>
    <w:rsid w:val="001A0101"/>
    <w:rsid w:val="001A1727"/>
    <w:rsid w:val="001A213D"/>
    <w:rsid w:val="001A27F2"/>
    <w:rsid w:val="001A4BE3"/>
    <w:rsid w:val="001A5BAA"/>
    <w:rsid w:val="001A6841"/>
    <w:rsid w:val="001A68C7"/>
    <w:rsid w:val="001A6CF1"/>
    <w:rsid w:val="001A7588"/>
    <w:rsid w:val="001B1E35"/>
    <w:rsid w:val="001B3674"/>
    <w:rsid w:val="001B4BA1"/>
    <w:rsid w:val="001B4BC8"/>
    <w:rsid w:val="001B4F74"/>
    <w:rsid w:val="001B58A7"/>
    <w:rsid w:val="001B7146"/>
    <w:rsid w:val="001C22A1"/>
    <w:rsid w:val="001C2942"/>
    <w:rsid w:val="001C2E15"/>
    <w:rsid w:val="001C3019"/>
    <w:rsid w:val="001C3651"/>
    <w:rsid w:val="001C394A"/>
    <w:rsid w:val="001C45AD"/>
    <w:rsid w:val="001C485C"/>
    <w:rsid w:val="001C583B"/>
    <w:rsid w:val="001C63DB"/>
    <w:rsid w:val="001C7E5B"/>
    <w:rsid w:val="001C7E8B"/>
    <w:rsid w:val="001D3593"/>
    <w:rsid w:val="001D3801"/>
    <w:rsid w:val="001D4C2F"/>
    <w:rsid w:val="001D5195"/>
    <w:rsid w:val="001D54B5"/>
    <w:rsid w:val="001D67AD"/>
    <w:rsid w:val="001D7439"/>
    <w:rsid w:val="001D7F68"/>
    <w:rsid w:val="001E001B"/>
    <w:rsid w:val="001E0189"/>
    <w:rsid w:val="001E0E57"/>
    <w:rsid w:val="001E1260"/>
    <w:rsid w:val="001E2E0D"/>
    <w:rsid w:val="001E3694"/>
    <w:rsid w:val="001E398F"/>
    <w:rsid w:val="001E3F89"/>
    <w:rsid w:val="001E48E9"/>
    <w:rsid w:val="001E4C09"/>
    <w:rsid w:val="001E7B30"/>
    <w:rsid w:val="001F0CA0"/>
    <w:rsid w:val="001F1378"/>
    <w:rsid w:val="001F319D"/>
    <w:rsid w:val="001F320C"/>
    <w:rsid w:val="001F3328"/>
    <w:rsid w:val="001F361A"/>
    <w:rsid w:val="001F3D9D"/>
    <w:rsid w:val="001F4D8E"/>
    <w:rsid w:val="001F6EDA"/>
    <w:rsid w:val="001F75C0"/>
    <w:rsid w:val="00200D10"/>
    <w:rsid w:val="00203D27"/>
    <w:rsid w:val="00203F45"/>
    <w:rsid w:val="002043D4"/>
    <w:rsid w:val="00206746"/>
    <w:rsid w:val="0021089C"/>
    <w:rsid w:val="0021097F"/>
    <w:rsid w:val="00210A24"/>
    <w:rsid w:val="00210A2E"/>
    <w:rsid w:val="00213585"/>
    <w:rsid w:val="00214573"/>
    <w:rsid w:val="00215BBD"/>
    <w:rsid w:val="00216A36"/>
    <w:rsid w:val="0022279B"/>
    <w:rsid w:val="00223628"/>
    <w:rsid w:val="0022633B"/>
    <w:rsid w:val="002263DC"/>
    <w:rsid w:val="0022687E"/>
    <w:rsid w:val="0023073F"/>
    <w:rsid w:val="002308E6"/>
    <w:rsid w:val="0023124F"/>
    <w:rsid w:val="00231A41"/>
    <w:rsid w:val="0023268F"/>
    <w:rsid w:val="002335C5"/>
    <w:rsid w:val="002355E8"/>
    <w:rsid w:val="0023604C"/>
    <w:rsid w:val="00236181"/>
    <w:rsid w:val="0023797F"/>
    <w:rsid w:val="002409F6"/>
    <w:rsid w:val="00243516"/>
    <w:rsid w:val="00244BA1"/>
    <w:rsid w:val="00245A6D"/>
    <w:rsid w:val="00245F2C"/>
    <w:rsid w:val="002477DE"/>
    <w:rsid w:val="00247803"/>
    <w:rsid w:val="00251C2C"/>
    <w:rsid w:val="0025225D"/>
    <w:rsid w:val="002529CA"/>
    <w:rsid w:val="0025429C"/>
    <w:rsid w:val="00254D5A"/>
    <w:rsid w:val="00262375"/>
    <w:rsid w:val="00263098"/>
    <w:rsid w:val="00263B38"/>
    <w:rsid w:val="0026420F"/>
    <w:rsid w:val="002643AC"/>
    <w:rsid w:val="002657A1"/>
    <w:rsid w:val="00265A03"/>
    <w:rsid w:val="00265DA1"/>
    <w:rsid w:val="002665E6"/>
    <w:rsid w:val="002666AA"/>
    <w:rsid w:val="00267615"/>
    <w:rsid w:val="00271AE9"/>
    <w:rsid w:val="00272621"/>
    <w:rsid w:val="002738D4"/>
    <w:rsid w:val="0027391E"/>
    <w:rsid w:val="002775D7"/>
    <w:rsid w:val="00277BE2"/>
    <w:rsid w:val="00281031"/>
    <w:rsid w:val="0028162E"/>
    <w:rsid w:val="0028696E"/>
    <w:rsid w:val="00286E64"/>
    <w:rsid w:val="00287720"/>
    <w:rsid w:val="0028774C"/>
    <w:rsid w:val="00287C9C"/>
    <w:rsid w:val="00290D7E"/>
    <w:rsid w:val="00292698"/>
    <w:rsid w:val="00294088"/>
    <w:rsid w:val="002943B4"/>
    <w:rsid w:val="002953FE"/>
    <w:rsid w:val="00296511"/>
    <w:rsid w:val="002A0777"/>
    <w:rsid w:val="002A33AB"/>
    <w:rsid w:val="002A5715"/>
    <w:rsid w:val="002A5DA6"/>
    <w:rsid w:val="002A6213"/>
    <w:rsid w:val="002A6561"/>
    <w:rsid w:val="002A65A7"/>
    <w:rsid w:val="002A716C"/>
    <w:rsid w:val="002B11A8"/>
    <w:rsid w:val="002B1E05"/>
    <w:rsid w:val="002B42CC"/>
    <w:rsid w:val="002B48EB"/>
    <w:rsid w:val="002B51F4"/>
    <w:rsid w:val="002B6AA6"/>
    <w:rsid w:val="002B7394"/>
    <w:rsid w:val="002B7685"/>
    <w:rsid w:val="002B7B79"/>
    <w:rsid w:val="002B7E2D"/>
    <w:rsid w:val="002C1353"/>
    <w:rsid w:val="002C1CBA"/>
    <w:rsid w:val="002C54E7"/>
    <w:rsid w:val="002D0397"/>
    <w:rsid w:val="002D2356"/>
    <w:rsid w:val="002D2773"/>
    <w:rsid w:val="002D3B4E"/>
    <w:rsid w:val="002D529D"/>
    <w:rsid w:val="002D576F"/>
    <w:rsid w:val="002D6CEB"/>
    <w:rsid w:val="002D6DF4"/>
    <w:rsid w:val="002D793B"/>
    <w:rsid w:val="002E0711"/>
    <w:rsid w:val="002E1165"/>
    <w:rsid w:val="002E130E"/>
    <w:rsid w:val="002E1DC2"/>
    <w:rsid w:val="002E2660"/>
    <w:rsid w:val="002E2935"/>
    <w:rsid w:val="002E3C80"/>
    <w:rsid w:val="002E48A6"/>
    <w:rsid w:val="002E4C50"/>
    <w:rsid w:val="002E50FD"/>
    <w:rsid w:val="002E6CE2"/>
    <w:rsid w:val="002E6DE6"/>
    <w:rsid w:val="002E7882"/>
    <w:rsid w:val="002E7908"/>
    <w:rsid w:val="002F0311"/>
    <w:rsid w:val="002F067B"/>
    <w:rsid w:val="002F16FE"/>
    <w:rsid w:val="002F1FBE"/>
    <w:rsid w:val="002F3685"/>
    <w:rsid w:val="002F4BD5"/>
    <w:rsid w:val="002F4D6B"/>
    <w:rsid w:val="002F4E9F"/>
    <w:rsid w:val="002F53F6"/>
    <w:rsid w:val="002F5507"/>
    <w:rsid w:val="002F6084"/>
    <w:rsid w:val="002F640C"/>
    <w:rsid w:val="002F6D4A"/>
    <w:rsid w:val="0030096B"/>
    <w:rsid w:val="0030124B"/>
    <w:rsid w:val="003015B9"/>
    <w:rsid w:val="00302272"/>
    <w:rsid w:val="0030329B"/>
    <w:rsid w:val="00303A0A"/>
    <w:rsid w:val="00304CA0"/>
    <w:rsid w:val="003069C9"/>
    <w:rsid w:val="003106C3"/>
    <w:rsid w:val="00310F4B"/>
    <w:rsid w:val="00311841"/>
    <w:rsid w:val="00311BE7"/>
    <w:rsid w:val="0031216F"/>
    <w:rsid w:val="00312565"/>
    <w:rsid w:val="003126CF"/>
    <w:rsid w:val="00312D5B"/>
    <w:rsid w:val="0031364F"/>
    <w:rsid w:val="003139CD"/>
    <w:rsid w:val="00313E72"/>
    <w:rsid w:val="00316E49"/>
    <w:rsid w:val="003172A4"/>
    <w:rsid w:val="0032142F"/>
    <w:rsid w:val="00323FFF"/>
    <w:rsid w:val="00325C0E"/>
    <w:rsid w:val="00327C4C"/>
    <w:rsid w:val="00327F54"/>
    <w:rsid w:val="00330C33"/>
    <w:rsid w:val="0033158E"/>
    <w:rsid w:val="00331EC2"/>
    <w:rsid w:val="00332DF2"/>
    <w:rsid w:val="003347B0"/>
    <w:rsid w:val="0033713C"/>
    <w:rsid w:val="003379CD"/>
    <w:rsid w:val="003405F6"/>
    <w:rsid w:val="003415A8"/>
    <w:rsid w:val="0034190C"/>
    <w:rsid w:val="003436D7"/>
    <w:rsid w:val="00344409"/>
    <w:rsid w:val="003449CD"/>
    <w:rsid w:val="0034625F"/>
    <w:rsid w:val="003463CA"/>
    <w:rsid w:val="00347984"/>
    <w:rsid w:val="003508FB"/>
    <w:rsid w:val="003531AF"/>
    <w:rsid w:val="003545B0"/>
    <w:rsid w:val="00360498"/>
    <w:rsid w:val="00363306"/>
    <w:rsid w:val="00363943"/>
    <w:rsid w:val="00366B77"/>
    <w:rsid w:val="00367D5A"/>
    <w:rsid w:val="00370E10"/>
    <w:rsid w:val="0037193E"/>
    <w:rsid w:val="003730A9"/>
    <w:rsid w:val="00374B1E"/>
    <w:rsid w:val="0037564C"/>
    <w:rsid w:val="00376BC3"/>
    <w:rsid w:val="00376E6C"/>
    <w:rsid w:val="00376EEF"/>
    <w:rsid w:val="003775AC"/>
    <w:rsid w:val="003777C3"/>
    <w:rsid w:val="00377D11"/>
    <w:rsid w:val="003803B5"/>
    <w:rsid w:val="00383FD4"/>
    <w:rsid w:val="00390D68"/>
    <w:rsid w:val="00391535"/>
    <w:rsid w:val="0039259D"/>
    <w:rsid w:val="00392D79"/>
    <w:rsid w:val="0039375B"/>
    <w:rsid w:val="003947E6"/>
    <w:rsid w:val="00394829"/>
    <w:rsid w:val="00396C80"/>
    <w:rsid w:val="003A477A"/>
    <w:rsid w:val="003A49B7"/>
    <w:rsid w:val="003A4AC4"/>
    <w:rsid w:val="003A5B06"/>
    <w:rsid w:val="003A67AF"/>
    <w:rsid w:val="003A6D84"/>
    <w:rsid w:val="003A6EC7"/>
    <w:rsid w:val="003B0013"/>
    <w:rsid w:val="003B2763"/>
    <w:rsid w:val="003B717A"/>
    <w:rsid w:val="003B73F2"/>
    <w:rsid w:val="003B789B"/>
    <w:rsid w:val="003C00B5"/>
    <w:rsid w:val="003C00E6"/>
    <w:rsid w:val="003C0555"/>
    <w:rsid w:val="003C0A3D"/>
    <w:rsid w:val="003C2704"/>
    <w:rsid w:val="003C2CE9"/>
    <w:rsid w:val="003C30BD"/>
    <w:rsid w:val="003C45A3"/>
    <w:rsid w:val="003C49BF"/>
    <w:rsid w:val="003C72DF"/>
    <w:rsid w:val="003C7689"/>
    <w:rsid w:val="003C7AB5"/>
    <w:rsid w:val="003D0523"/>
    <w:rsid w:val="003D0B71"/>
    <w:rsid w:val="003D2C76"/>
    <w:rsid w:val="003D5C1C"/>
    <w:rsid w:val="003D6392"/>
    <w:rsid w:val="003D6407"/>
    <w:rsid w:val="003D7A68"/>
    <w:rsid w:val="003D7C94"/>
    <w:rsid w:val="003E0161"/>
    <w:rsid w:val="003E07AE"/>
    <w:rsid w:val="003E0B81"/>
    <w:rsid w:val="003E1C86"/>
    <w:rsid w:val="003E2D3A"/>
    <w:rsid w:val="003E4421"/>
    <w:rsid w:val="003E4C6F"/>
    <w:rsid w:val="003E58BE"/>
    <w:rsid w:val="003E723E"/>
    <w:rsid w:val="003E7313"/>
    <w:rsid w:val="003E7CA0"/>
    <w:rsid w:val="003F1F1A"/>
    <w:rsid w:val="003F2DAF"/>
    <w:rsid w:val="003F5DE1"/>
    <w:rsid w:val="003F7820"/>
    <w:rsid w:val="0040052D"/>
    <w:rsid w:val="00400F37"/>
    <w:rsid w:val="00401008"/>
    <w:rsid w:val="0040125B"/>
    <w:rsid w:val="00401799"/>
    <w:rsid w:val="0040501A"/>
    <w:rsid w:val="00406A11"/>
    <w:rsid w:val="00406B26"/>
    <w:rsid w:val="00407895"/>
    <w:rsid w:val="0041022F"/>
    <w:rsid w:val="00411E45"/>
    <w:rsid w:val="00412C92"/>
    <w:rsid w:val="00412E52"/>
    <w:rsid w:val="0041391B"/>
    <w:rsid w:val="00413A5D"/>
    <w:rsid w:val="0041409C"/>
    <w:rsid w:val="00414F4F"/>
    <w:rsid w:val="004151B5"/>
    <w:rsid w:val="004168ED"/>
    <w:rsid w:val="0041755F"/>
    <w:rsid w:val="00420BE1"/>
    <w:rsid w:val="004211D6"/>
    <w:rsid w:val="00421392"/>
    <w:rsid w:val="004228E0"/>
    <w:rsid w:val="00422BD6"/>
    <w:rsid w:val="00422C8E"/>
    <w:rsid w:val="004239AD"/>
    <w:rsid w:val="00423D25"/>
    <w:rsid w:val="004246FC"/>
    <w:rsid w:val="00426077"/>
    <w:rsid w:val="00427C6C"/>
    <w:rsid w:val="00430023"/>
    <w:rsid w:val="00432073"/>
    <w:rsid w:val="00433DB7"/>
    <w:rsid w:val="0043430B"/>
    <w:rsid w:val="00437BAD"/>
    <w:rsid w:val="0044222F"/>
    <w:rsid w:val="004433F4"/>
    <w:rsid w:val="00444992"/>
    <w:rsid w:val="0044549D"/>
    <w:rsid w:val="0044598E"/>
    <w:rsid w:val="00446898"/>
    <w:rsid w:val="00446AB7"/>
    <w:rsid w:val="00447E36"/>
    <w:rsid w:val="0045018B"/>
    <w:rsid w:val="00450272"/>
    <w:rsid w:val="0045325E"/>
    <w:rsid w:val="0045407E"/>
    <w:rsid w:val="004542C8"/>
    <w:rsid w:val="00456599"/>
    <w:rsid w:val="004606F7"/>
    <w:rsid w:val="0046098E"/>
    <w:rsid w:val="0046164A"/>
    <w:rsid w:val="004617A5"/>
    <w:rsid w:val="004623C4"/>
    <w:rsid w:val="00462AB2"/>
    <w:rsid w:val="00463C8A"/>
    <w:rsid w:val="00464856"/>
    <w:rsid w:val="00464CCE"/>
    <w:rsid w:val="00464DA2"/>
    <w:rsid w:val="00470087"/>
    <w:rsid w:val="00470455"/>
    <w:rsid w:val="0047213F"/>
    <w:rsid w:val="00474A6B"/>
    <w:rsid w:val="004752F5"/>
    <w:rsid w:val="0047577B"/>
    <w:rsid w:val="00475F52"/>
    <w:rsid w:val="00476D1F"/>
    <w:rsid w:val="00476E53"/>
    <w:rsid w:val="004774A6"/>
    <w:rsid w:val="004800A9"/>
    <w:rsid w:val="00482C24"/>
    <w:rsid w:val="00483FC6"/>
    <w:rsid w:val="004853F7"/>
    <w:rsid w:val="00485C80"/>
    <w:rsid w:val="004860BD"/>
    <w:rsid w:val="0049041A"/>
    <w:rsid w:val="00490604"/>
    <w:rsid w:val="004941F0"/>
    <w:rsid w:val="004954B9"/>
    <w:rsid w:val="00495505"/>
    <w:rsid w:val="00495F8A"/>
    <w:rsid w:val="0049601E"/>
    <w:rsid w:val="00496229"/>
    <w:rsid w:val="00496DBE"/>
    <w:rsid w:val="004976AF"/>
    <w:rsid w:val="004A0C21"/>
    <w:rsid w:val="004A12F9"/>
    <w:rsid w:val="004A3885"/>
    <w:rsid w:val="004A3B36"/>
    <w:rsid w:val="004A51BE"/>
    <w:rsid w:val="004A5227"/>
    <w:rsid w:val="004A6B9F"/>
    <w:rsid w:val="004B134E"/>
    <w:rsid w:val="004B35D1"/>
    <w:rsid w:val="004B3763"/>
    <w:rsid w:val="004B38B7"/>
    <w:rsid w:val="004B3B97"/>
    <w:rsid w:val="004B4A9C"/>
    <w:rsid w:val="004B4FE1"/>
    <w:rsid w:val="004B53B6"/>
    <w:rsid w:val="004B606D"/>
    <w:rsid w:val="004B6E5C"/>
    <w:rsid w:val="004C109D"/>
    <w:rsid w:val="004C1391"/>
    <w:rsid w:val="004C1D3E"/>
    <w:rsid w:val="004C2759"/>
    <w:rsid w:val="004C2CBE"/>
    <w:rsid w:val="004C3161"/>
    <w:rsid w:val="004C39C5"/>
    <w:rsid w:val="004C4E96"/>
    <w:rsid w:val="004C5955"/>
    <w:rsid w:val="004C7591"/>
    <w:rsid w:val="004D0EC9"/>
    <w:rsid w:val="004D3526"/>
    <w:rsid w:val="004D378E"/>
    <w:rsid w:val="004D4C46"/>
    <w:rsid w:val="004D5349"/>
    <w:rsid w:val="004D61AD"/>
    <w:rsid w:val="004D6B92"/>
    <w:rsid w:val="004D702C"/>
    <w:rsid w:val="004D70CC"/>
    <w:rsid w:val="004D7939"/>
    <w:rsid w:val="004E319B"/>
    <w:rsid w:val="004E3A0A"/>
    <w:rsid w:val="004E3DD3"/>
    <w:rsid w:val="004E52CC"/>
    <w:rsid w:val="004E65C8"/>
    <w:rsid w:val="004E715F"/>
    <w:rsid w:val="004E7222"/>
    <w:rsid w:val="004E78FD"/>
    <w:rsid w:val="004E7FE7"/>
    <w:rsid w:val="004F03A1"/>
    <w:rsid w:val="004F4FDB"/>
    <w:rsid w:val="004F7632"/>
    <w:rsid w:val="00500E99"/>
    <w:rsid w:val="00502933"/>
    <w:rsid w:val="00502C45"/>
    <w:rsid w:val="00505692"/>
    <w:rsid w:val="005059C9"/>
    <w:rsid w:val="005069A2"/>
    <w:rsid w:val="0051161A"/>
    <w:rsid w:val="005143F2"/>
    <w:rsid w:val="005144AA"/>
    <w:rsid w:val="00515990"/>
    <w:rsid w:val="00515DA6"/>
    <w:rsid w:val="00515F4F"/>
    <w:rsid w:val="005169BF"/>
    <w:rsid w:val="00516B82"/>
    <w:rsid w:val="00516C5C"/>
    <w:rsid w:val="00517A26"/>
    <w:rsid w:val="00520226"/>
    <w:rsid w:val="00520D6D"/>
    <w:rsid w:val="00520E92"/>
    <w:rsid w:val="00525CBD"/>
    <w:rsid w:val="0052622D"/>
    <w:rsid w:val="00530274"/>
    <w:rsid w:val="005304F8"/>
    <w:rsid w:val="00530707"/>
    <w:rsid w:val="00531181"/>
    <w:rsid w:val="00532B81"/>
    <w:rsid w:val="00533AE8"/>
    <w:rsid w:val="00534F9B"/>
    <w:rsid w:val="0053532D"/>
    <w:rsid w:val="00535BFF"/>
    <w:rsid w:val="005379F4"/>
    <w:rsid w:val="00541143"/>
    <w:rsid w:val="0054257D"/>
    <w:rsid w:val="00543114"/>
    <w:rsid w:val="00543313"/>
    <w:rsid w:val="00544FB7"/>
    <w:rsid w:val="005451E4"/>
    <w:rsid w:val="00545830"/>
    <w:rsid w:val="00545A1C"/>
    <w:rsid w:val="00546040"/>
    <w:rsid w:val="00546141"/>
    <w:rsid w:val="00546343"/>
    <w:rsid w:val="0054731A"/>
    <w:rsid w:val="00547C65"/>
    <w:rsid w:val="00550619"/>
    <w:rsid w:val="00551357"/>
    <w:rsid w:val="005527C3"/>
    <w:rsid w:val="00552D0A"/>
    <w:rsid w:val="005535E8"/>
    <w:rsid w:val="00553F63"/>
    <w:rsid w:val="00554458"/>
    <w:rsid w:val="00554620"/>
    <w:rsid w:val="00555B01"/>
    <w:rsid w:val="0055699B"/>
    <w:rsid w:val="00563975"/>
    <w:rsid w:val="00563C9B"/>
    <w:rsid w:val="00566D70"/>
    <w:rsid w:val="00567965"/>
    <w:rsid w:val="00570CFA"/>
    <w:rsid w:val="00570F42"/>
    <w:rsid w:val="00570F86"/>
    <w:rsid w:val="00571279"/>
    <w:rsid w:val="00572EED"/>
    <w:rsid w:val="00573137"/>
    <w:rsid w:val="00573449"/>
    <w:rsid w:val="0057476A"/>
    <w:rsid w:val="00574A49"/>
    <w:rsid w:val="00575512"/>
    <w:rsid w:val="00576312"/>
    <w:rsid w:val="00576E0C"/>
    <w:rsid w:val="005777D2"/>
    <w:rsid w:val="005804AD"/>
    <w:rsid w:val="00582EEB"/>
    <w:rsid w:val="00583A8D"/>
    <w:rsid w:val="005857B8"/>
    <w:rsid w:val="0058631D"/>
    <w:rsid w:val="00590039"/>
    <w:rsid w:val="00591966"/>
    <w:rsid w:val="0059362E"/>
    <w:rsid w:val="00594A4E"/>
    <w:rsid w:val="00596028"/>
    <w:rsid w:val="00596D92"/>
    <w:rsid w:val="005A102C"/>
    <w:rsid w:val="005A2826"/>
    <w:rsid w:val="005A28FC"/>
    <w:rsid w:val="005A3789"/>
    <w:rsid w:val="005A3901"/>
    <w:rsid w:val="005A5830"/>
    <w:rsid w:val="005A5F4E"/>
    <w:rsid w:val="005A5F96"/>
    <w:rsid w:val="005A5F99"/>
    <w:rsid w:val="005A6E08"/>
    <w:rsid w:val="005A70DA"/>
    <w:rsid w:val="005B1C51"/>
    <w:rsid w:val="005B2563"/>
    <w:rsid w:val="005B2EDF"/>
    <w:rsid w:val="005B3596"/>
    <w:rsid w:val="005B3E73"/>
    <w:rsid w:val="005B3F38"/>
    <w:rsid w:val="005B7E1C"/>
    <w:rsid w:val="005C272E"/>
    <w:rsid w:val="005C2E71"/>
    <w:rsid w:val="005C553D"/>
    <w:rsid w:val="005C5650"/>
    <w:rsid w:val="005C7308"/>
    <w:rsid w:val="005D0716"/>
    <w:rsid w:val="005D0833"/>
    <w:rsid w:val="005D0CA0"/>
    <w:rsid w:val="005D120D"/>
    <w:rsid w:val="005D2610"/>
    <w:rsid w:val="005D4B3A"/>
    <w:rsid w:val="005D4FE0"/>
    <w:rsid w:val="005D5C6E"/>
    <w:rsid w:val="005D6FFA"/>
    <w:rsid w:val="005D7D0D"/>
    <w:rsid w:val="005E0140"/>
    <w:rsid w:val="005E1BF7"/>
    <w:rsid w:val="005E4074"/>
    <w:rsid w:val="005E4754"/>
    <w:rsid w:val="005E685A"/>
    <w:rsid w:val="005E6DD8"/>
    <w:rsid w:val="005E7238"/>
    <w:rsid w:val="005E7F3D"/>
    <w:rsid w:val="005F000B"/>
    <w:rsid w:val="005F0DEE"/>
    <w:rsid w:val="005F158D"/>
    <w:rsid w:val="005F16C4"/>
    <w:rsid w:val="005F230F"/>
    <w:rsid w:val="005F6080"/>
    <w:rsid w:val="005F6933"/>
    <w:rsid w:val="005F6C03"/>
    <w:rsid w:val="005F71B6"/>
    <w:rsid w:val="00602572"/>
    <w:rsid w:val="00602E7F"/>
    <w:rsid w:val="00604989"/>
    <w:rsid w:val="00606140"/>
    <w:rsid w:val="00606CDD"/>
    <w:rsid w:val="0061226C"/>
    <w:rsid w:val="0061349F"/>
    <w:rsid w:val="0061381E"/>
    <w:rsid w:val="00613A00"/>
    <w:rsid w:val="00613B06"/>
    <w:rsid w:val="00613CEB"/>
    <w:rsid w:val="006140CB"/>
    <w:rsid w:val="00614169"/>
    <w:rsid w:val="006155F3"/>
    <w:rsid w:val="00616A5F"/>
    <w:rsid w:val="006171CE"/>
    <w:rsid w:val="006203A7"/>
    <w:rsid w:val="00621752"/>
    <w:rsid w:val="006233AA"/>
    <w:rsid w:val="00623F04"/>
    <w:rsid w:val="0062458B"/>
    <w:rsid w:val="00624C99"/>
    <w:rsid w:val="00624D1D"/>
    <w:rsid w:val="006275E9"/>
    <w:rsid w:val="00630895"/>
    <w:rsid w:val="00631CC5"/>
    <w:rsid w:val="00633F85"/>
    <w:rsid w:val="0063416E"/>
    <w:rsid w:val="00635016"/>
    <w:rsid w:val="0063641C"/>
    <w:rsid w:val="006368EF"/>
    <w:rsid w:val="006379FA"/>
    <w:rsid w:val="00637B01"/>
    <w:rsid w:val="00641DB3"/>
    <w:rsid w:val="006424F8"/>
    <w:rsid w:val="00642601"/>
    <w:rsid w:val="006426A1"/>
    <w:rsid w:val="006451C1"/>
    <w:rsid w:val="006451C6"/>
    <w:rsid w:val="006474A3"/>
    <w:rsid w:val="00651205"/>
    <w:rsid w:val="00651765"/>
    <w:rsid w:val="00653978"/>
    <w:rsid w:val="006543DD"/>
    <w:rsid w:val="00654E14"/>
    <w:rsid w:val="006553C4"/>
    <w:rsid w:val="00655713"/>
    <w:rsid w:val="006560C8"/>
    <w:rsid w:val="00657403"/>
    <w:rsid w:val="006574CE"/>
    <w:rsid w:val="006575E2"/>
    <w:rsid w:val="006602BE"/>
    <w:rsid w:val="0066040C"/>
    <w:rsid w:val="0066379A"/>
    <w:rsid w:val="006641E2"/>
    <w:rsid w:val="00666B4B"/>
    <w:rsid w:val="006672FA"/>
    <w:rsid w:val="006702B9"/>
    <w:rsid w:val="00671893"/>
    <w:rsid w:val="00671A75"/>
    <w:rsid w:val="00672C49"/>
    <w:rsid w:val="006739F6"/>
    <w:rsid w:val="006742D5"/>
    <w:rsid w:val="006768D6"/>
    <w:rsid w:val="00676F15"/>
    <w:rsid w:val="00677807"/>
    <w:rsid w:val="00680755"/>
    <w:rsid w:val="00680A3D"/>
    <w:rsid w:val="00680D57"/>
    <w:rsid w:val="00681045"/>
    <w:rsid w:val="006812D4"/>
    <w:rsid w:val="006834E3"/>
    <w:rsid w:val="0068409F"/>
    <w:rsid w:val="00684A5F"/>
    <w:rsid w:val="00686C80"/>
    <w:rsid w:val="00690A3E"/>
    <w:rsid w:val="00692150"/>
    <w:rsid w:val="00694888"/>
    <w:rsid w:val="006948C8"/>
    <w:rsid w:val="00694D05"/>
    <w:rsid w:val="00695147"/>
    <w:rsid w:val="006977F7"/>
    <w:rsid w:val="00697B1B"/>
    <w:rsid w:val="006A0201"/>
    <w:rsid w:val="006A0877"/>
    <w:rsid w:val="006A119A"/>
    <w:rsid w:val="006A2A68"/>
    <w:rsid w:val="006A45D2"/>
    <w:rsid w:val="006A5DE7"/>
    <w:rsid w:val="006A5FEC"/>
    <w:rsid w:val="006A612D"/>
    <w:rsid w:val="006A7425"/>
    <w:rsid w:val="006A7EBC"/>
    <w:rsid w:val="006B1CF1"/>
    <w:rsid w:val="006B23FA"/>
    <w:rsid w:val="006B2877"/>
    <w:rsid w:val="006B313B"/>
    <w:rsid w:val="006B316A"/>
    <w:rsid w:val="006B326F"/>
    <w:rsid w:val="006B402D"/>
    <w:rsid w:val="006B42ED"/>
    <w:rsid w:val="006B45C4"/>
    <w:rsid w:val="006B54E1"/>
    <w:rsid w:val="006B55A0"/>
    <w:rsid w:val="006B782D"/>
    <w:rsid w:val="006B7A5E"/>
    <w:rsid w:val="006C0D06"/>
    <w:rsid w:val="006C20EA"/>
    <w:rsid w:val="006C2B6B"/>
    <w:rsid w:val="006C313E"/>
    <w:rsid w:val="006C48C1"/>
    <w:rsid w:val="006C496F"/>
    <w:rsid w:val="006C54E4"/>
    <w:rsid w:val="006C6EA6"/>
    <w:rsid w:val="006D1076"/>
    <w:rsid w:val="006D108A"/>
    <w:rsid w:val="006D1177"/>
    <w:rsid w:val="006D1257"/>
    <w:rsid w:val="006D4E96"/>
    <w:rsid w:val="006D543E"/>
    <w:rsid w:val="006D6AAB"/>
    <w:rsid w:val="006D6BE3"/>
    <w:rsid w:val="006D7CF2"/>
    <w:rsid w:val="006D7D27"/>
    <w:rsid w:val="006E0089"/>
    <w:rsid w:val="006E2225"/>
    <w:rsid w:val="006E26A2"/>
    <w:rsid w:val="006E34FE"/>
    <w:rsid w:val="006E355E"/>
    <w:rsid w:val="006E3A0C"/>
    <w:rsid w:val="006E4F05"/>
    <w:rsid w:val="006E5BC5"/>
    <w:rsid w:val="006E66D9"/>
    <w:rsid w:val="006E731B"/>
    <w:rsid w:val="006F0237"/>
    <w:rsid w:val="006F02D3"/>
    <w:rsid w:val="006F2B35"/>
    <w:rsid w:val="006F33B8"/>
    <w:rsid w:val="006F455A"/>
    <w:rsid w:val="006F464A"/>
    <w:rsid w:val="006F4B36"/>
    <w:rsid w:val="006F5320"/>
    <w:rsid w:val="006F7C10"/>
    <w:rsid w:val="006F7D1C"/>
    <w:rsid w:val="0070033A"/>
    <w:rsid w:val="00700AFE"/>
    <w:rsid w:val="00705485"/>
    <w:rsid w:val="00705709"/>
    <w:rsid w:val="007063EE"/>
    <w:rsid w:val="00707355"/>
    <w:rsid w:val="00707445"/>
    <w:rsid w:val="00710EEF"/>
    <w:rsid w:val="00712E68"/>
    <w:rsid w:val="007140CC"/>
    <w:rsid w:val="00714B52"/>
    <w:rsid w:val="007157EF"/>
    <w:rsid w:val="00715855"/>
    <w:rsid w:val="00715B67"/>
    <w:rsid w:val="00715C31"/>
    <w:rsid w:val="00715F60"/>
    <w:rsid w:val="00717987"/>
    <w:rsid w:val="007200CD"/>
    <w:rsid w:val="007203E5"/>
    <w:rsid w:val="00721DDE"/>
    <w:rsid w:val="00721FF2"/>
    <w:rsid w:val="007229BB"/>
    <w:rsid w:val="00723D4E"/>
    <w:rsid w:val="0072468D"/>
    <w:rsid w:val="00724B99"/>
    <w:rsid w:val="00724CA4"/>
    <w:rsid w:val="00724DDD"/>
    <w:rsid w:val="00725E77"/>
    <w:rsid w:val="00726320"/>
    <w:rsid w:val="00732BFA"/>
    <w:rsid w:val="00733204"/>
    <w:rsid w:val="0073320E"/>
    <w:rsid w:val="007339EE"/>
    <w:rsid w:val="007340D9"/>
    <w:rsid w:val="007341E8"/>
    <w:rsid w:val="00734F3E"/>
    <w:rsid w:val="00735F58"/>
    <w:rsid w:val="00740E4A"/>
    <w:rsid w:val="007414AF"/>
    <w:rsid w:val="00742F61"/>
    <w:rsid w:val="00744207"/>
    <w:rsid w:val="007445A4"/>
    <w:rsid w:val="0074461E"/>
    <w:rsid w:val="00745224"/>
    <w:rsid w:val="00745520"/>
    <w:rsid w:val="0074572E"/>
    <w:rsid w:val="007467AB"/>
    <w:rsid w:val="00747C7A"/>
    <w:rsid w:val="00751E56"/>
    <w:rsid w:val="00753E35"/>
    <w:rsid w:val="0075541E"/>
    <w:rsid w:val="00755F73"/>
    <w:rsid w:val="00756033"/>
    <w:rsid w:val="007564A3"/>
    <w:rsid w:val="00756553"/>
    <w:rsid w:val="00761B8D"/>
    <w:rsid w:val="007625D2"/>
    <w:rsid w:val="00762754"/>
    <w:rsid w:val="00762EFC"/>
    <w:rsid w:val="00762F62"/>
    <w:rsid w:val="00763B3A"/>
    <w:rsid w:val="0076555B"/>
    <w:rsid w:val="007655E1"/>
    <w:rsid w:val="007666E6"/>
    <w:rsid w:val="00766E7C"/>
    <w:rsid w:val="00767D75"/>
    <w:rsid w:val="007705E7"/>
    <w:rsid w:val="0077233D"/>
    <w:rsid w:val="007724BA"/>
    <w:rsid w:val="0077275E"/>
    <w:rsid w:val="007729E2"/>
    <w:rsid w:val="007738AA"/>
    <w:rsid w:val="00773DFD"/>
    <w:rsid w:val="007752C3"/>
    <w:rsid w:val="00776B68"/>
    <w:rsid w:val="00780005"/>
    <w:rsid w:val="007807FA"/>
    <w:rsid w:val="00780B68"/>
    <w:rsid w:val="007820F6"/>
    <w:rsid w:val="00782E73"/>
    <w:rsid w:val="007845F0"/>
    <w:rsid w:val="0078516A"/>
    <w:rsid w:val="0078545E"/>
    <w:rsid w:val="00785665"/>
    <w:rsid w:val="0078655F"/>
    <w:rsid w:val="00790E97"/>
    <w:rsid w:val="00791B2A"/>
    <w:rsid w:val="007923FC"/>
    <w:rsid w:val="00793D62"/>
    <w:rsid w:val="007958E7"/>
    <w:rsid w:val="00796FE3"/>
    <w:rsid w:val="0079784D"/>
    <w:rsid w:val="007A0A14"/>
    <w:rsid w:val="007A1096"/>
    <w:rsid w:val="007A2194"/>
    <w:rsid w:val="007A2C31"/>
    <w:rsid w:val="007A36B1"/>
    <w:rsid w:val="007A3C77"/>
    <w:rsid w:val="007A5EE9"/>
    <w:rsid w:val="007A67FF"/>
    <w:rsid w:val="007A6B79"/>
    <w:rsid w:val="007A7C1E"/>
    <w:rsid w:val="007A7E86"/>
    <w:rsid w:val="007B0D48"/>
    <w:rsid w:val="007B147E"/>
    <w:rsid w:val="007B3EC8"/>
    <w:rsid w:val="007B45D9"/>
    <w:rsid w:val="007B4713"/>
    <w:rsid w:val="007B4B49"/>
    <w:rsid w:val="007B4D07"/>
    <w:rsid w:val="007B5786"/>
    <w:rsid w:val="007B58AB"/>
    <w:rsid w:val="007B5982"/>
    <w:rsid w:val="007B6689"/>
    <w:rsid w:val="007B78CF"/>
    <w:rsid w:val="007C0AEE"/>
    <w:rsid w:val="007C0C6B"/>
    <w:rsid w:val="007C1AE8"/>
    <w:rsid w:val="007C3717"/>
    <w:rsid w:val="007C4CEF"/>
    <w:rsid w:val="007C6A75"/>
    <w:rsid w:val="007C6B93"/>
    <w:rsid w:val="007C6D71"/>
    <w:rsid w:val="007C7FDD"/>
    <w:rsid w:val="007D172E"/>
    <w:rsid w:val="007D1F8D"/>
    <w:rsid w:val="007D2368"/>
    <w:rsid w:val="007D329A"/>
    <w:rsid w:val="007D353C"/>
    <w:rsid w:val="007D3936"/>
    <w:rsid w:val="007D4604"/>
    <w:rsid w:val="007D48DC"/>
    <w:rsid w:val="007D507D"/>
    <w:rsid w:val="007E2170"/>
    <w:rsid w:val="007E2C56"/>
    <w:rsid w:val="007E36ED"/>
    <w:rsid w:val="007E4020"/>
    <w:rsid w:val="007E5A57"/>
    <w:rsid w:val="007E7D1E"/>
    <w:rsid w:val="007F31EB"/>
    <w:rsid w:val="007F35BF"/>
    <w:rsid w:val="007F38A6"/>
    <w:rsid w:val="007F46DC"/>
    <w:rsid w:val="007F54B5"/>
    <w:rsid w:val="007F59A2"/>
    <w:rsid w:val="007F6E61"/>
    <w:rsid w:val="007F7758"/>
    <w:rsid w:val="007F7EB3"/>
    <w:rsid w:val="00801CAD"/>
    <w:rsid w:val="008043FA"/>
    <w:rsid w:val="00804EC5"/>
    <w:rsid w:val="00807406"/>
    <w:rsid w:val="00807B14"/>
    <w:rsid w:val="0081089F"/>
    <w:rsid w:val="008108C2"/>
    <w:rsid w:val="00811638"/>
    <w:rsid w:val="0081257E"/>
    <w:rsid w:val="00812A67"/>
    <w:rsid w:val="00812EF0"/>
    <w:rsid w:val="00812FC7"/>
    <w:rsid w:val="00814636"/>
    <w:rsid w:val="00814D6D"/>
    <w:rsid w:val="008157DF"/>
    <w:rsid w:val="00815922"/>
    <w:rsid w:val="008206AE"/>
    <w:rsid w:val="00820DA0"/>
    <w:rsid w:val="00821138"/>
    <w:rsid w:val="00821457"/>
    <w:rsid w:val="00821C6D"/>
    <w:rsid w:val="00822AD5"/>
    <w:rsid w:val="00822CE5"/>
    <w:rsid w:val="00823667"/>
    <w:rsid w:val="00824994"/>
    <w:rsid w:val="008268A5"/>
    <w:rsid w:val="008306C4"/>
    <w:rsid w:val="008326E2"/>
    <w:rsid w:val="00833850"/>
    <w:rsid w:val="008358ED"/>
    <w:rsid w:val="00835E74"/>
    <w:rsid w:val="00836856"/>
    <w:rsid w:val="00837637"/>
    <w:rsid w:val="0084357C"/>
    <w:rsid w:val="00843BB2"/>
    <w:rsid w:val="00845400"/>
    <w:rsid w:val="00846DD9"/>
    <w:rsid w:val="008479C3"/>
    <w:rsid w:val="00850067"/>
    <w:rsid w:val="008511CD"/>
    <w:rsid w:val="00851CE8"/>
    <w:rsid w:val="0085208E"/>
    <w:rsid w:val="00853652"/>
    <w:rsid w:val="00854025"/>
    <w:rsid w:val="0085424D"/>
    <w:rsid w:val="00855248"/>
    <w:rsid w:val="00856541"/>
    <w:rsid w:val="00856C64"/>
    <w:rsid w:val="0085764A"/>
    <w:rsid w:val="008603C0"/>
    <w:rsid w:val="00861B5D"/>
    <w:rsid w:val="00862F40"/>
    <w:rsid w:val="008640FA"/>
    <w:rsid w:val="00864EFD"/>
    <w:rsid w:val="0086662B"/>
    <w:rsid w:val="0087048A"/>
    <w:rsid w:val="00870E19"/>
    <w:rsid w:val="00870FB0"/>
    <w:rsid w:val="008718CC"/>
    <w:rsid w:val="0087262F"/>
    <w:rsid w:val="00873293"/>
    <w:rsid w:val="00873BA1"/>
    <w:rsid w:val="00873F3D"/>
    <w:rsid w:val="00874DFB"/>
    <w:rsid w:val="00875872"/>
    <w:rsid w:val="00876646"/>
    <w:rsid w:val="0087754F"/>
    <w:rsid w:val="00877BE1"/>
    <w:rsid w:val="00881954"/>
    <w:rsid w:val="00881F39"/>
    <w:rsid w:val="008838C4"/>
    <w:rsid w:val="00884AD1"/>
    <w:rsid w:val="00885D39"/>
    <w:rsid w:val="00885E41"/>
    <w:rsid w:val="00885F36"/>
    <w:rsid w:val="0088699A"/>
    <w:rsid w:val="0088731C"/>
    <w:rsid w:val="00891074"/>
    <w:rsid w:val="008921E0"/>
    <w:rsid w:val="00892718"/>
    <w:rsid w:val="008927EC"/>
    <w:rsid w:val="00892A6A"/>
    <w:rsid w:val="00893C0E"/>
    <w:rsid w:val="00894D5E"/>
    <w:rsid w:val="00894E90"/>
    <w:rsid w:val="008951EC"/>
    <w:rsid w:val="00895506"/>
    <w:rsid w:val="008955BA"/>
    <w:rsid w:val="008959DD"/>
    <w:rsid w:val="00896159"/>
    <w:rsid w:val="00896610"/>
    <w:rsid w:val="00896F85"/>
    <w:rsid w:val="00897600"/>
    <w:rsid w:val="008976DE"/>
    <w:rsid w:val="008A0CB8"/>
    <w:rsid w:val="008A1FA7"/>
    <w:rsid w:val="008A66E4"/>
    <w:rsid w:val="008A732B"/>
    <w:rsid w:val="008B0D42"/>
    <w:rsid w:val="008B1D1E"/>
    <w:rsid w:val="008B2C7D"/>
    <w:rsid w:val="008C1317"/>
    <w:rsid w:val="008C1B4C"/>
    <w:rsid w:val="008C1FD3"/>
    <w:rsid w:val="008C28E5"/>
    <w:rsid w:val="008C329A"/>
    <w:rsid w:val="008C3901"/>
    <w:rsid w:val="008C3A88"/>
    <w:rsid w:val="008C3B4E"/>
    <w:rsid w:val="008C4028"/>
    <w:rsid w:val="008C46A0"/>
    <w:rsid w:val="008C4CD5"/>
    <w:rsid w:val="008C71B7"/>
    <w:rsid w:val="008C737B"/>
    <w:rsid w:val="008C7B10"/>
    <w:rsid w:val="008D0005"/>
    <w:rsid w:val="008D2834"/>
    <w:rsid w:val="008D286C"/>
    <w:rsid w:val="008D353C"/>
    <w:rsid w:val="008D419C"/>
    <w:rsid w:val="008D6972"/>
    <w:rsid w:val="008D7242"/>
    <w:rsid w:val="008E0070"/>
    <w:rsid w:val="008E2A03"/>
    <w:rsid w:val="008E3539"/>
    <w:rsid w:val="008E4BC8"/>
    <w:rsid w:val="008E4EAF"/>
    <w:rsid w:val="008E5DE3"/>
    <w:rsid w:val="008E6B6C"/>
    <w:rsid w:val="008F1130"/>
    <w:rsid w:val="008F1551"/>
    <w:rsid w:val="008F1E73"/>
    <w:rsid w:val="008F2C2D"/>
    <w:rsid w:val="008F2DCE"/>
    <w:rsid w:val="008F385A"/>
    <w:rsid w:val="008F3E7B"/>
    <w:rsid w:val="008F4FCA"/>
    <w:rsid w:val="008F56DA"/>
    <w:rsid w:val="008F6C10"/>
    <w:rsid w:val="009025A1"/>
    <w:rsid w:val="009026D0"/>
    <w:rsid w:val="00903D9D"/>
    <w:rsid w:val="00906D13"/>
    <w:rsid w:val="00907AB5"/>
    <w:rsid w:val="00911737"/>
    <w:rsid w:val="009142D7"/>
    <w:rsid w:val="00914D2A"/>
    <w:rsid w:val="00914E1C"/>
    <w:rsid w:val="00914EAD"/>
    <w:rsid w:val="0091574A"/>
    <w:rsid w:val="00915AB9"/>
    <w:rsid w:val="00917077"/>
    <w:rsid w:val="00920AC6"/>
    <w:rsid w:val="00920D92"/>
    <w:rsid w:val="0092138F"/>
    <w:rsid w:val="00922B1B"/>
    <w:rsid w:val="00922BCD"/>
    <w:rsid w:val="009231A4"/>
    <w:rsid w:val="00924D9D"/>
    <w:rsid w:val="00926248"/>
    <w:rsid w:val="009266F2"/>
    <w:rsid w:val="009303B1"/>
    <w:rsid w:val="0093054C"/>
    <w:rsid w:val="00930571"/>
    <w:rsid w:val="00931612"/>
    <w:rsid w:val="00931B00"/>
    <w:rsid w:val="00931C0E"/>
    <w:rsid w:val="00932153"/>
    <w:rsid w:val="00932D60"/>
    <w:rsid w:val="009340B7"/>
    <w:rsid w:val="009359F9"/>
    <w:rsid w:val="009366D8"/>
    <w:rsid w:val="009402D7"/>
    <w:rsid w:val="00942134"/>
    <w:rsid w:val="009424B5"/>
    <w:rsid w:val="00942583"/>
    <w:rsid w:val="0094329E"/>
    <w:rsid w:val="00945251"/>
    <w:rsid w:val="009462DE"/>
    <w:rsid w:val="00950D06"/>
    <w:rsid w:val="009512D3"/>
    <w:rsid w:val="0095190F"/>
    <w:rsid w:val="00952387"/>
    <w:rsid w:val="00953166"/>
    <w:rsid w:val="00953DAB"/>
    <w:rsid w:val="00953F0C"/>
    <w:rsid w:val="00955436"/>
    <w:rsid w:val="00956BF2"/>
    <w:rsid w:val="00956F9A"/>
    <w:rsid w:val="00956FB8"/>
    <w:rsid w:val="00957854"/>
    <w:rsid w:val="00961654"/>
    <w:rsid w:val="0096220F"/>
    <w:rsid w:val="00963067"/>
    <w:rsid w:val="00964D3A"/>
    <w:rsid w:val="00965D1C"/>
    <w:rsid w:val="00966A2C"/>
    <w:rsid w:val="00966CE1"/>
    <w:rsid w:val="00970BC2"/>
    <w:rsid w:val="00970D5D"/>
    <w:rsid w:val="00970FF0"/>
    <w:rsid w:val="00971146"/>
    <w:rsid w:val="0097121C"/>
    <w:rsid w:val="00971261"/>
    <w:rsid w:val="009712A5"/>
    <w:rsid w:val="0097210E"/>
    <w:rsid w:val="00974BF0"/>
    <w:rsid w:val="00975164"/>
    <w:rsid w:val="00976415"/>
    <w:rsid w:val="00976FC7"/>
    <w:rsid w:val="0097727E"/>
    <w:rsid w:val="0097758E"/>
    <w:rsid w:val="00981FC0"/>
    <w:rsid w:val="009827BA"/>
    <w:rsid w:val="00982AE1"/>
    <w:rsid w:val="0098366C"/>
    <w:rsid w:val="00984764"/>
    <w:rsid w:val="00985C98"/>
    <w:rsid w:val="00985DB9"/>
    <w:rsid w:val="009862F2"/>
    <w:rsid w:val="00991811"/>
    <w:rsid w:val="00995997"/>
    <w:rsid w:val="0099669B"/>
    <w:rsid w:val="00996955"/>
    <w:rsid w:val="009A031D"/>
    <w:rsid w:val="009A24C3"/>
    <w:rsid w:val="009A276B"/>
    <w:rsid w:val="009A2D2A"/>
    <w:rsid w:val="009A325A"/>
    <w:rsid w:val="009A32A3"/>
    <w:rsid w:val="009A477D"/>
    <w:rsid w:val="009A56EF"/>
    <w:rsid w:val="009A61B2"/>
    <w:rsid w:val="009A65A8"/>
    <w:rsid w:val="009A69F4"/>
    <w:rsid w:val="009A6BD1"/>
    <w:rsid w:val="009B05FF"/>
    <w:rsid w:val="009B0C48"/>
    <w:rsid w:val="009B163B"/>
    <w:rsid w:val="009B257A"/>
    <w:rsid w:val="009B2F32"/>
    <w:rsid w:val="009B37E1"/>
    <w:rsid w:val="009B4AE3"/>
    <w:rsid w:val="009B589C"/>
    <w:rsid w:val="009B5F57"/>
    <w:rsid w:val="009B7D39"/>
    <w:rsid w:val="009C09BC"/>
    <w:rsid w:val="009C125B"/>
    <w:rsid w:val="009C168C"/>
    <w:rsid w:val="009C231B"/>
    <w:rsid w:val="009C2C5B"/>
    <w:rsid w:val="009C2CC6"/>
    <w:rsid w:val="009C30E4"/>
    <w:rsid w:val="009C3254"/>
    <w:rsid w:val="009C3B1D"/>
    <w:rsid w:val="009C495F"/>
    <w:rsid w:val="009C5288"/>
    <w:rsid w:val="009C5EB2"/>
    <w:rsid w:val="009C61CB"/>
    <w:rsid w:val="009C6984"/>
    <w:rsid w:val="009D0EA5"/>
    <w:rsid w:val="009D0EFC"/>
    <w:rsid w:val="009D0FE5"/>
    <w:rsid w:val="009D2578"/>
    <w:rsid w:val="009D2E9D"/>
    <w:rsid w:val="009D5E46"/>
    <w:rsid w:val="009D6F37"/>
    <w:rsid w:val="009E27DF"/>
    <w:rsid w:val="009E354C"/>
    <w:rsid w:val="009E3CC2"/>
    <w:rsid w:val="009E59EC"/>
    <w:rsid w:val="009E5D21"/>
    <w:rsid w:val="009E5E48"/>
    <w:rsid w:val="009E615A"/>
    <w:rsid w:val="009E6E0D"/>
    <w:rsid w:val="009F09E3"/>
    <w:rsid w:val="009F0EE4"/>
    <w:rsid w:val="009F0F79"/>
    <w:rsid w:val="009F1416"/>
    <w:rsid w:val="009F15E9"/>
    <w:rsid w:val="009F1D19"/>
    <w:rsid w:val="009F2A57"/>
    <w:rsid w:val="009F319A"/>
    <w:rsid w:val="009F32FD"/>
    <w:rsid w:val="009F34A8"/>
    <w:rsid w:val="009F5280"/>
    <w:rsid w:val="009F6900"/>
    <w:rsid w:val="009F72C4"/>
    <w:rsid w:val="009F7586"/>
    <w:rsid w:val="00A0179D"/>
    <w:rsid w:val="00A02BB9"/>
    <w:rsid w:val="00A0418D"/>
    <w:rsid w:val="00A04508"/>
    <w:rsid w:val="00A046EF"/>
    <w:rsid w:val="00A052C3"/>
    <w:rsid w:val="00A0584B"/>
    <w:rsid w:val="00A101C1"/>
    <w:rsid w:val="00A10D7C"/>
    <w:rsid w:val="00A11767"/>
    <w:rsid w:val="00A12A21"/>
    <w:rsid w:val="00A131A0"/>
    <w:rsid w:val="00A13444"/>
    <w:rsid w:val="00A15DCD"/>
    <w:rsid w:val="00A162F9"/>
    <w:rsid w:val="00A16547"/>
    <w:rsid w:val="00A17E92"/>
    <w:rsid w:val="00A17F2D"/>
    <w:rsid w:val="00A2153D"/>
    <w:rsid w:val="00A22518"/>
    <w:rsid w:val="00A2305B"/>
    <w:rsid w:val="00A24204"/>
    <w:rsid w:val="00A2444B"/>
    <w:rsid w:val="00A24743"/>
    <w:rsid w:val="00A255C3"/>
    <w:rsid w:val="00A26A48"/>
    <w:rsid w:val="00A30069"/>
    <w:rsid w:val="00A30D17"/>
    <w:rsid w:val="00A30F9E"/>
    <w:rsid w:val="00A31374"/>
    <w:rsid w:val="00A3195C"/>
    <w:rsid w:val="00A346D4"/>
    <w:rsid w:val="00A35E69"/>
    <w:rsid w:val="00A362F1"/>
    <w:rsid w:val="00A36BF9"/>
    <w:rsid w:val="00A37B75"/>
    <w:rsid w:val="00A4060A"/>
    <w:rsid w:val="00A407F7"/>
    <w:rsid w:val="00A428A7"/>
    <w:rsid w:val="00A42911"/>
    <w:rsid w:val="00A44B8A"/>
    <w:rsid w:val="00A44C87"/>
    <w:rsid w:val="00A45761"/>
    <w:rsid w:val="00A4676F"/>
    <w:rsid w:val="00A467A4"/>
    <w:rsid w:val="00A46B47"/>
    <w:rsid w:val="00A5113A"/>
    <w:rsid w:val="00A51531"/>
    <w:rsid w:val="00A536FE"/>
    <w:rsid w:val="00A5396C"/>
    <w:rsid w:val="00A53AC6"/>
    <w:rsid w:val="00A5485E"/>
    <w:rsid w:val="00A551B8"/>
    <w:rsid w:val="00A55F1D"/>
    <w:rsid w:val="00A56D86"/>
    <w:rsid w:val="00A57A1C"/>
    <w:rsid w:val="00A60CB7"/>
    <w:rsid w:val="00A614F8"/>
    <w:rsid w:val="00A62B1B"/>
    <w:rsid w:val="00A6441C"/>
    <w:rsid w:val="00A6506B"/>
    <w:rsid w:val="00A653B5"/>
    <w:rsid w:val="00A65B61"/>
    <w:rsid w:val="00A66290"/>
    <w:rsid w:val="00A67058"/>
    <w:rsid w:val="00A7031F"/>
    <w:rsid w:val="00A7166C"/>
    <w:rsid w:val="00A71BBB"/>
    <w:rsid w:val="00A72958"/>
    <w:rsid w:val="00A72A28"/>
    <w:rsid w:val="00A73BE7"/>
    <w:rsid w:val="00A749A4"/>
    <w:rsid w:val="00A74F30"/>
    <w:rsid w:val="00A75097"/>
    <w:rsid w:val="00A767BC"/>
    <w:rsid w:val="00A770F1"/>
    <w:rsid w:val="00A772B4"/>
    <w:rsid w:val="00A77B78"/>
    <w:rsid w:val="00A77D94"/>
    <w:rsid w:val="00A80AEE"/>
    <w:rsid w:val="00A81492"/>
    <w:rsid w:val="00A81A5B"/>
    <w:rsid w:val="00A82465"/>
    <w:rsid w:val="00A8279C"/>
    <w:rsid w:val="00A827E7"/>
    <w:rsid w:val="00A83176"/>
    <w:rsid w:val="00A83678"/>
    <w:rsid w:val="00A84EBF"/>
    <w:rsid w:val="00A85C1D"/>
    <w:rsid w:val="00A85C84"/>
    <w:rsid w:val="00A87E56"/>
    <w:rsid w:val="00A87F68"/>
    <w:rsid w:val="00A9098D"/>
    <w:rsid w:val="00A9120E"/>
    <w:rsid w:val="00A9121B"/>
    <w:rsid w:val="00A915FC"/>
    <w:rsid w:val="00A918AD"/>
    <w:rsid w:val="00A91E76"/>
    <w:rsid w:val="00A92991"/>
    <w:rsid w:val="00A9359B"/>
    <w:rsid w:val="00A943FF"/>
    <w:rsid w:val="00A951B8"/>
    <w:rsid w:val="00A9659D"/>
    <w:rsid w:val="00A965C0"/>
    <w:rsid w:val="00AA00AD"/>
    <w:rsid w:val="00AA05A7"/>
    <w:rsid w:val="00AA1CFC"/>
    <w:rsid w:val="00AA1D90"/>
    <w:rsid w:val="00AA4132"/>
    <w:rsid w:val="00AA41D2"/>
    <w:rsid w:val="00AA41F4"/>
    <w:rsid w:val="00AA5474"/>
    <w:rsid w:val="00AA5B22"/>
    <w:rsid w:val="00AA6D91"/>
    <w:rsid w:val="00AA700F"/>
    <w:rsid w:val="00AA7CF0"/>
    <w:rsid w:val="00AB0C8C"/>
    <w:rsid w:val="00AB14B6"/>
    <w:rsid w:val="00AB16AA"/>
    <w:rsid w:val="00AB2CA1"/>
    <w:rsid w:val="00AB356A"/>
    <w:rsid w:val="00AB3EF5"/>
    <w:rsid w:val="00AB46DE"/>
    <w:rsid w:val="00AB472B"/>
    <w:rsid w:val="00AB5D08"/>
    <w:rsid w:val="00AB742B"/>
    <w:rsid w:val="00AC08BA"/>
    <w:rsid w:val="00AC1818"/>
    <w:rsid w:val="00AC24D6"/>
    <w:rsid w:val="00AC36D7"/>
    <w:rsid w:val="00AC395A"/>
    <w:rsid w:val="00AC5D20"/>
    <w:rsid w:val="00AC677B"/>
    <w:rsid w:val="00AC7A58"/>
    <w:rsid w:val="00AD0022"/>
    <w:rsid w:val="00AD1225"/>
    <w:rsid w:val="00AD41F2"/>
    <w:rsid w:val="00AD46DC"/>
    <w:rsid w:val="00AD55F9"/>
    <w:rsid w:val="00AD6024"/>
    <w:rsid w:val="00AD7768"/>
    <w:rsid w:val="00AD7DAE"/>
    <w:rsid w:val="00AD7ECE"/>
    <w:rsid w:val="00AE0DD8"/>
    <w:rsid w:val="00AE15CB"/>
    <w:rsid w:val="00AE1802"/>
    <w:rsid w:val="00AE23BA"/>
    <w:rsid w:val="00AE2D42"/>
    <w:rsid w:val="00AE375D"/>
    <w:rsid w:val="00AE47C3"/>
    <w:rsid w:val="00AE4DEA"/>
    <w:rsid w:val="00AE548F"/>
    <w:rsid w:val="00AE5EBE"/>
    <w:rsid w:val="00AF069E"/>
    <w:rsid w:val="00AF400C"/>
    <w:rsid w:val="00AF446E"/>
    <w:rsid w:val="00AF449E"/>
    <w:rsid w:val="00AF4850"/>
    <w:rsid w:val="00AF582B"/>
    <w:rsid w:val="00AF5F61"/>
    <w:rsid w:val="00AF63D8"/>
    <w:rsid w:val="00AF6A9E"/>
    <w:rsid w:val="00AF707F"/>
    <w:rsid w:val="00AF7852"/>
    <w:rsid w:val="00B0036E"/>
    <w:rsid w:val="00B017F6"/>
    <w:rsid w:val="00B01D83"/>
    <w:rsid w:val="00B01F46"/>
    <w:rsid w:val="00B042E6"/>
    <w:rsid w:val="00B049AA"/>
    <w:rsid w:val="00B04A3E"/>
    <w:rsid w:val="00B05AD0"/>
    <w:rsid w:val="00B05CC5"/>
    <w:rsid w:val="00B05DC4"/>
    <w:rsid w:val="00B0631F"/>
    <w:rsid w:val="00B06A48"/>
    <w:rsid w:val="00B07487"/>
    <w:rsid w:val="00B07A90"/>
    <w:rsid w:val="00B07DEC"/>
    <w:rsid w:val="00B10288"/>
    <w:rsid w:val="00B13787"/>
    <w:rsid w:val="00B13C3A"/>
    <w:rsid w:val="00B163C4"/>
    <w:rsid w:val="00B16749"/>
    <w:rsid w:val="00B16A07"/>
    <w:rsid w:val="00B171AD"/>
    <w:rsid w:val="00B20892"/>
    <w:rsid w:val="00B20C47"/>
    <w:rsid w:val="00B21575"/>
    <w:rsid w:val="00B24B30"/>
    <w:rsid w:val="00B2609A"/>
    <w:rsid w:val="00B27180"/>
    <w:rsid w:val="00B278A3"/>
    <w:rsid w:val="00B27CDA"/>
    <w:rsid w:val="00B311DD"/>
    <w:rsid w:val="00B31844"/>
    <w:rsid w:val="00B31B1F"/>
    <w:rsid w:val="00B322A0"/>
    <w:rsid w:val="00B322B7"/>
    <w:rsid w:val="00B3297E"/>
    <w:rsid w:val="00B33A88"/>
    <w:rsid w:val="00B3533B"/>
    <w:rsid w:val="00B35BD0"/>
    <w:rsid w:val="00B36718"/>
    <w:rsid w:val="00B36E9C"/>
    <w:rsid w:val="00B376FB"/>
    <w:rsid w:val="00B400C8"/>
    <w:rsid w:val="00B4381C"/>
    <w:rsid w:val="00B43840"/>
    <w:rsid w:val="00B43CE3"/>
    <w:rsid w:val="00B44DDC"/>
    <w:rsid w:val="00B45832"/>
    <w:rsid w:val="00B46555"/>
    <w:rsid w:val="00B46C46"/>
    <w:rsid w:val="00B474CD"/>
    <w:rsid w:val="00B47C12"/>
    <w:rsid w:val="00B51564"/>
    <w:rsid w:val="00B52C13"/>
    <w:rsid w:val="00B53088"/>
    <w:rsid w:val="00B531FC"/>
    <w:rsid w:val="00B54EE8"/>
    <w:rsid w:val="00B5526C"/>
    <w:rsid w:val="00B571B7"/>
    <w:rsid w:val="00B60227"/>
    <w:rsid w:val="00B6030A"/>
    <w:rsid w:val="00B60601"/>
    <w:rsid w:val="00B630D4"/>
    <w:rsid w:val="00B6328B"/>
    <w:rsid w:val="00B64E53"/>
    <w:rsid w:val="00B70567"/>
    <w:rsid w:val="00B7081C"/>
    <w:rsid w:val="00B708C6"/>
    <w:rsid w:val="00B70A50"/>
    <w:rsid w:val="00B70C87"/>
    <w:rsid w:val="00B710E3"/>
    <w:rsid w:val="00B71EE9"/>
    <w:rsid w:val="00B71F60"/>
    <w:rsid w:val="00B721B0"/>
    <w:rsid w:val="00B7497F"/>
    <w:rsid w:val="00B772E1"/>
    <w:rsid w:val="00B77307"/>
    <w:rsid w:val="00B8035B"/>
    <w:rsid w:val="00B80671"/>
    <w:rsid w:val="00B81E08"/>
    <w:rsid w:val="00B81E49"/>
    <w:rsid w:val="00B82A06"/>
    <w:rsid w:val="00B82CFB"/>
    <w:rsid w:val="00B83AF3"/>
    <w:rsid w:val="00B84828"/>
    <w:rsid w:val="00B85F2E"/>
    <w:rsid w:val="00B91C39"/>
    <w:rsid w:val="00B91C91"/>
    <w:rsid w:val="00B92CF1"/>
    <w:rsid w:val="00B94C4F"/>
    <w:rsid w:val="00B95235"/>
    <w:rsid w:val="00BA05E9"/>
    <w:rsid w:val="00BA0F79"/>
    <w:rsid w:val="00BA121D"/>
    <w:rsid w:val="00BA2C5F"/>
    <w:rsid w:val="00BA3DBC"/>
    <w:rsid w:val="00BA4D4E"/>
    <w:rsid w:val="00BA5FCF"/>
    <w:rsid w:val="00BA7140"/>
    <w:rsid w:val="00BA7622"/>
    <w:rsid w:val="00BA7825"/>
    <w:rsid w:val="00BB1C38"/>
    <w:rsid w:val="00BB20F8"/>
    <w:rsid w:val="00BB2B28"/>
    <w:rsid w:val="00BB2CC6"/>
    <w:rsid w:val="00BB30B1"/>
    <w:rsid w:val="00BB608A"/>
    <w:rsid w:val="00BB6975"/>
    <w:rsid w:val="00BB6D8A"/>
    <w:rsid w:val="00BB70AB"/>
    <w:rsid w:val="00BC1CDF"/>
    <w:rsid w:val="00BC28F3"/>
    <w:rsid w:val="00BC3C6A"/>
    <w:rsid w:val="00BC4048"/>
    <w:rsid w:val="00BC4A3F"/>
    <w:rsid w:val="00BC528E"/>
    <w:rsid w:val="00BC7598"/>
    <w:rsid w:val="00BD183E"/>
    <w:rsid w:val="00BD198F"/>
    <w:rsid w:val="00BD2086"/>
    <w:rsid w:val="00BD2AEC"/>
    <w:rsid w:val="00BD6896"/>
    <w:rsid w:val="00BD6BC8"/>
    <w:rsid w:val="00BE055A"/>
    <w:rsid w:val="00BE10B7"/>
    <w:rsid w:val="00BE1697"/>
    <w:rsid w:val="00BE57B1"/>
    <w:rsid w:val="00BE5936"/>
    <w:rsid w:val="00BE5A0C"/>
    <w:rsid w:val="00BE689E"/>
    <w:rsid w:val="00BE7166"/>
    <w:rsid w:val="00BF0589"/>
    <w:rsid w:val="00BF0A37"/>
    <w:rsid w:val="00BF13CA"/>
    <w:rsid w:val="00BF1D81"/>
    <w:rsid w:val="00BF2B63"/>
    <w:rsid w:val="00BF384B"/>
    <w:rsid w:val="00BF4843"/>
    <w:rsid w:val="00BF484D"/>
    <w:rsid w:val="00BF4A7E"/>
    <w:rsid w:val="00BF6FDA"/>
    <w:rsid w:val="00BF7B70"/>
    <w:rsid w:val="00C00BD2"/>
    <w:rsid w:val="00C0226A"/>
    <w:rsid w:val="00C0269A"/>
    <w:rsid w:val="00C02E11"/>
    <w:rsid w:val="00C03A31"/>
    <w:rsid w:val="00C0480F"/>
    <w:rsid w:val="00C0543F"/>
    <w:rsid w:val="00C05562"/>
    <w:rsid w:val="00C07CD7"/>
    <w:rsid w:val="00C07D18"/>
    <w:rsid w:val="00C07E9F"/>
    <w:rsid w:val="00C10F46"/>
    <w:rsid w:val="00C11114"/>
    <w:rsid w:val="00C11D2A"/>
    <w:rsid w:val="00C1237B"/>
    <w:rsid w:val="00C12625"/>
    <w:rsid w:val="00C126CC"/>
    <w:rsid w:val="00C12737"/>
    <w:rsid w:val="00C137C1"/>
    <w:rsid w:val="00C15BF8"/>
    <w:rsid w:val="00C160C2"/>
    <w:rsid w:val="00C16158"/>
    <w:rsid w:val="00C178BB"/>
    <w:rsid w:val="00C17928"/>
    <w:rsid w:val="00C20FFE"/>
    <w:rsid w:val="00C21B75"/>
    <w:rsid w:val="00C21CD0"/>
    <w:rsid w:val="00C2260B"/>
    <w:rsid w:val="00C23249"/>
    <w:rsid w:val="00C26712"/>
    <w:rsid w:val="00C2673E"/>
    <w:rsid w:val="00C273AE"/>
    <w:rsid w:val="00C27B87"/>
    <w:rsid w:val="00C306F7"/>
    <w:rsid w:val="00C32D8B"/>
    <w:rsid w:val="00C333B8"/>
    <w:rsid w:val="00C33BF2"/>
    <w:rsid w:val="00C341A4"/>
    <w:rsid w:val="00C3452D"/>
    <w:rsid w:val="00C34B09"/>
    <w:rsid w:val="00C3644B"/>
    <w:rsid w:val="00C36617"/>
    <w:rsid w:val="00C37652"/>
    <w:rsid w:val="00C40129"/>
    <w:rsid w:val="00C40684"/>
    <w:rsid w:val="00C436E8"/>
    <w:rsid w:val="00C437E2"/>
    <w:rsid w:val="00C444BA"/>
    <w:rsid w:val="00C45542"/>
    <w:rsid w:val="00C46FF3"/>
    <w:rsid w:val="00C4793B"/>
    <w:rsid w:val="00C47DEE"/>
    <w:rsid w:val="00C47F76"/>
    <w:rsid w:val="00C518E8"/>
    <w:rsid w:val="00C52555"/>
    <w:rsid w:val="00C52B0F"/>
    <w:rsid w:val="00C53CD2"/>
    <w:rsid w:val="00C54330"/>
    <w:rsid w:val="00C5737B"/>
    <w:rsid w:val="00C60DC1"/>
    <w:rsid w:val="00C61AEA"/>
    <w:rsid w:val="00C61DDB"/>
    <w:rsid w:val="00C64A31"/>
    <w:rsid w:val="00C67149"/>
    <w:rsid w:val="00C70A0A"/>
    <w:rsid w:val="00C750BA"/>
    <w:rsid w:val="00C755F4"/>
    <w:rsid w:val="00C75A87"/>
    <w:rsid w:val="00C76305"/>
    <w:rsid w:val="00C76870"/>
    <w:rsid w:val="00C7703E"/>
    <w:rsid w:val="00C77DB9"/>
    <w:rsid w:val="00C808DC"/>
    <w:rsid w:val="00C820A2"/>
    <w:rsid w:val="00C82CC0"/>
    <w:rsid w:val="00C83AF3"/>
    <w:rsid w:val="00C846A1"/>
    <w:rsid w:val="00C84C30"/>
    <w:rsid w:val="00C85150"/>
    <w:rsid w:val="00C86932"/>
    <w:rsid w:val="00C87069"/>
    <w:rsid w:val="00C9144B"/>
    <w:rsid w:val="00C92084"/>
    <w:rsid w:val="00C9245E"/>
    <w:rsid w:val="00C93242"/>
    <w:rsid w:val="00C936D8"/>
    <w:rsid w:val="00C9437B"/>
    <w:rsid w:val="00C95557"/>
    <w:rsid w:val="00C97672"/>
    <w:rsid w:val="00CA2A15"/>
    <w:rsid w:val="00CA2FCF"/>
    <w:rsid w:val="00CA2FFC"/>
    <w:rsid w:val="00CA3612"/>
    <w:rsid w:val="00CA3B8B"/>
    <w:rsid w:val="00CA4296"/>
    <w:rsid w:val="00CA5652"/>
    <w:rsid w:val="00CA6BBB"/>
    <w:rsid w:val="00CA7F6A"/>
    <w:rsid w:val="00CB03E6"/>
    <w:rsid w:val="00CB0644"/>
    <w:rsid w:val="00CB1F2C"/>
    <w:rsid w:val="00CB20D8"/>
    <w:rsid w:val="00CB24C6"/>
    <w:rsid w:val="00CB254A"/>
    <w:rsid w:val="00CB26BD"/>
    <w:rsid w:val="00CB394E"/>
    <w:rsid w:val="00CB4103"/>
    <w:rsid w:val="00CB59CC"/>
    <w:rsid w:val="00CB5EF5"/>
    <w:rsid w:val="00CB6ABE"/>
    <w:rsid w:val="00CC1328"/>
    <w:rsid w:val="00CC19A3"/>
    <w:rsid w:val="00CC4523"/>
    <w:rsid w:val="00CC535F"/>
    <w:rsid w:val="00CC76E0"/>
    <w:rsid w:val="00CC7E61"/>
    <w:rsid w:val="00CD033C"/>
    <w:rsid w:val="00CD038B"/>
    <w:rsid w:val="00CD1967"/>
    <w:rsid w:val="00CD2F62"/>
    <w:rsid w:val="00CD35E8"/>
    <w:rsid w:val="00CD3733"/>
    <w:rsid w:val="00CD4F15"/>
    <w:rsid w:val="00CD5CCB"/>
    <w:rsid w:val="00CE03EC"/>
    <w:rsid w:val="00CE0C8C"/>
    <w:rsid w:val="00CE194E"/>
    <w:rsid w:val="00CE3392"/>
    <w:rsid w:val="00CE3650"/>
    <w:rsid w:val="00CE4C61"/>
    <w:rsid w:val="00CE4E7A"/>
    <w:rsid w:val="00CE7326"/>
    <w:rsid w:val="00CF0256"/>
    <w:rsid w:val="00CF095E"/>
    <w:rsid w:val="00CF1205"/>
    <w:rsid w:val="00CF12BB"/>
    <w:rsid w:val="00CF31F9"/>
    <w:rsid w:val="00CF5759"/>
    <w:rsid w:val="00CF7BDC"/>
    <w:rsid w:val="00D0048B"/>
    <w:rsid w:val="00D01262"/>
    <w:rsid w:val="00D01702"/>
    <w:rsid w:val="00D01871"/>
    <w:rsid w:val="00D01B88"/>
    <w:rsid w:val="00D02A0C"/>
    <w:rsid w:val="00D056C1"/>
    <w:rsid w:val="00D05E2A"/>
    <w:rsid w:val="00D06B65"/>
    <w:rsid w:val="00D07322"/>
    <w:rsid w:val="00D10584"/>
    <w:rsid w:val="00D11332"/>
    <w:rsid w:val="00D11495"/>
    <w:rsid w:val="00D119BE"/>
    <w:rsid w:val="00D148CC"/>
    <w:rsid w:val="00D14A4C"/>
    <w:rsid w:val="00D162B9"/>
    <w:rsid w:val="00D16EC5"/>
    <w:rsid w:val="00D1731A"/>
    <w:rsid w:val="00D20890"/>
    <w:rsid w:val="00D21562"/>
    <w:rsid w:val="00D231F0"/>
    <w:rsid w:val="00D241A6"/>
    <w:rsid w:val="00D24C54"/>
    <w:rsid w:val="00D24DDA"/>
    <w:rsid w:val="00D24F57"/>
    <w:rsid w:val="00D25854"/>
    <w:rsid w:val="00D26387"/>
    <w:rsid w:val="00D263D4"/>
    <w:rsid w:val="00D276A4"/>
    <w:rsid w:val="00D31A68"/>
    <w:rsid w:val="00D32257"/>
    <w:rsid w:val="00D327E2"/>
    <w:rsid w:val="00D33237"/>
    <w:rsid w:val="00D334E6"/>
    <w:rsid w:val="00D339A0"/>
    <w:rsid w:val="00D33E72"/>
    <w:rsid w:val="00D34CF3"/>
    <w:rsid w:val="00D368A3"/>
    <w:rsid w:val="00D36EF1"/>
    <w:rsid w:val="00D37432"/>
    <w:rsid w:val="00D40CDE"/>
    <w:rsid w:val="00D42814"/>
    <w:rsid w:val="00D438C9"/>
    <w:rsid w:val="00D44251"/>
    <w:rsid w:val="00D45C17"/>
    <w:rsid w:val="00D46C79"/>
    <w:rsid w:val="00D500DD"/>
    <w:rsid w:val="00D50EF7"/>
    <w:rsid w:val="00D53339"/>
    <w:rsid w:val="00D54D93"/>
    <w:rsid w:val="00D55EFF"/>
    <w:rsid w:val="00D5685D"/>
    <w:rsid w:val="00D56FFC"/>
    <w:rsid w:val="00D57CE0"/>
    <w:rsid w:val="00D60D3C"/>
    <w:rsid w:val="00D612B3"/>
    <w:rsid w:val="00D62850"/>
    <w:rsid w:val="00D643FD"/>
    <w:rsid w:val="00D64FF1"/>
    <w:rsid w:val="00D654CA"/>
    <w:rsid w:val="00D65743"/>
    <w:rsid w:val="00D65BB4"/>
    <w:rsid w:val="00D660F3"/>
    <w:rsid w:val="00D67D75"/>
    <w:rsid w:val="00D70032"/>
    <w:rsid w:val="00D70819"/>
    <w:rsid w:val="00D7148C"/>
    <w:rsid w:val="00D71BA5"/>
    <w:rsid w:val="00D71DE0"/>
    <w:rsid w:val="00D72230"/>
    <w:rsid w:val="00D722B0"/>
    <w:rsid w:val="00D73F1B"/>
    <w:rsid w:val="00D74F78"/>
    <w:rsid w:val="00D75B7E"/>
    <w:rsid w:val="00D76296"/>
    <w:rsid w:val="00D7629A"/>
    <w:rsid w:val="00D776C4"/>
    <w:rsid w:val="00D776FF"/>
    <w:rsid w:val="00D7796B"/>
    <w:rsid w:val="00D77AA4"/>
    <w:rsid w:val="00D80BA8"/>
    <w:rsid w:val="00D813C0"/>
    <w:rsid w:val="00D8165C"/>
    <w:rsid w:val="00D836E2"/>
    <w:rsid w:val="00D83DAE"/>
    <w:rsid w:val="00D848A9"/>
    <w:rsid w:val="00D84D0F"/>
    <w:rsid w:val="00D85626"/>
    <w:rsid w:val="00D85656"/>
    <w:rsid w:val="00D8610C"/>
    <w:rsid w:val="00D920F6"/>
    <w:rsid w:val="00D93A4E"/>
    <w:rsid w:val="00D93A9D"/>
    <w:rsid w:val="00D949D7"/>
    <w:rsid w:val="00D951AD"/>
    <w:rsid w:val="00DA0CC2"/>
    <w:rsid w:val="00DA1398"/>
    <w:rsid w:val="00DA251A"/>
    <w:rsid w:val="00DA3400"/>
    <w:rsid w:val="00DA41B1"/>
    <w:rsid w:val="00DA4DE9"/>
    <w:rsid w:val="00DA4E67"/>
    <w:rsid w:val="00DA5FBF"/>
    <w:rsid w:val="00DA635F"/>
    <w:rsid w:val="00DA7C58"/>
    <w:rsid w:val="00DB2D08"/>
    <w:rsid w:val="00DB2FF4"/>
    <w:rsid w:val="00DB34C8"/>
    <w:rsid w:val="00DB3CC4"/>
    <w:rsid w:val="00DB5327"/>
    <w:rsid w:val="00DB65D3"/>
    <w:rsid w:val="00DC12C7"/>
    <w:rsid w:val="00DC1B17"/>
    <w:rsid w:val="00DC1B96"/>
    <w:rsid w:val="00DC2096"/>
    <w:rsid w:val="00DC23A3"/>
    <w:rsid w:val="00DC4F3B"/>
    <w:rsid w:val="00DC5BE8"/>
    <w:rsid w:val="00DC5E32"/>
    <w:rsid w:val="00DC626F"/>
    <w:rsid w:val="00DC6737"/>
    <w:rsid w:val="00DC7927"/>
    <w:rsid w:val="00DC7DD0"/>
    <w:rsid w:val="00DD0215"/>
    <w:rsid w:val="00DD0F09"/>
    <w:rsid w:val="00DD2D81"/>
    <w:rsid w:val="00DD40DD"/>
    <w:rsid w:val="00DD47DF"/>
    <w:rsid w:val="00DD6711"/>
    <w:rsid w:val="00DD7BF5"/>
    <w:rsid w:val="00DE1061"/>
    <w:rsid w:val="00DE132E"/>
    <w:rsid w:val="00DE28CC"/>
    <w:rsid w:val="00DE5FBA"/>
    <w:rsid w:val="00DE6028"/>
    <w:rsid w:val="00DE655E"/>
    <w:rsid w:val="00DE6C87"/>
    <w:rsid w:val="00DE78C1"/>
    <w:rsid w:val="00DF155D"/>
    <w:rsid w:val="00DF2857"/>
    <w:rsid w:val="00DF3E0F"/>
    <w:rsid w:val="00DF444F"/>
    <w:rsid w:val="00DF5450"/>
    <w:rsid w:val="00DF5A98"/>
    <w:rsid w:val="00DF680C"/>
    <w:rsid w:val="00DF742F"/>
    <w:rsid w:val="00E03588"/>
    <w:rsid w:val="00E04F80"/>
    <w:rsid w:val="00E068F5"/>
    <w:rsid w:val="00E07F10"/>
    <w:rsid w:val="00E10930"/>
    <w:rsid w:val="00E10E2A"/>
    <w:rsid w:val="00E136BB"/>
    <w:rsid w:val="00E15109"/>
    <w:rsid w:val="00E15D18"/>
    <w:rsid w:val="00E16308"/>
    <w:rsid w:val="00E1738C"/>
    <w:rsid w:val="00E17E3E"/>
    <w:rsid w:val="00E17E8D"/>
    <w:rsid w:val="00E17F55"/>
    <w:rsid w:val="00E20188"/>
    <w:rsid w:val="00E20B7C"/>
    <w:rsid w:val="00E20ECB"/>
    <w:rsid w:val="00E211B5"/>
    <w:rsid w:val="00E21D99"/>
    <w:rsid w:val="00E229CD"/>
    <w:rsid w:val="00E240C8"/>
    <w:rsid w:val="00E24584"/>
    <w:rsid w:val="00E2473D"/>
    <w:rsid w:val="00E24A56"/>
    <w:rsid w:val="00E250ED"/>
    <w:rsid w:val="00E25728"/>
    <w:rsid w:val="00E27A5B"/>
    <w:rsid w:val="00E27FFC"/>
    <w:rsid w:val="00E30096"/>
    <w:rsid w:val="00E30CE1"/>
    <w:rsid w:val="00E330AC"/>
    <w:rsid w:val="00E331D2"/>
    <w:rsid w:val="00E343F3"/>
    <w:rsid w:val="00E34BC3"/>
    <w:rsid w:val="00E35B83"/>
    <w:rsid w:val="00E35C7C"/>
    <w:rsid w:val="00E363A8"/>
    <w:rsid w:val="00E36EB4"/>
    <w:rsid w:val="00E371F6"/>
    <w:rsid w:val="00E40309"/>
    <w:rsid w:val="00E40EAA"/>
    <w:rsid w:val="00E41B3B"/>
    <w:rsid w:val="00E41E98"/>
    <w:rsid w:val="00E42C83"/>
    <w:rsid w:val="00E42D35"/>
    <w:rsid w:val="00E443DC"/>
    <w:rsid w:val="00E44820"/>
    <w:rsid w:val="00E44E3C"/>
    <w:rsid w:val="00E472B0"/>
    <w:rsid w:val="00E502EA"/>
    <w:rsid w:val="00E517D1"/>
    <w:rsid w:val="00E528B3"/>
    <w:rsid w:val="00E5449E"/>
    <w:rsid w:val="00E544DF"/>
    <w:rsid w:val="00E544F3"/>
    <w:rsid w:val="00E54656"/>
    <w:rsid w:val="00E54869"/>
    <w:rsid w:val="00E5532B"/>
    <w:rsid w:val="00E55C65"/>
    <w:rsid w:val="00E55FC5"/>
    <w:rsid w:val="00E562BC"/>
    <w:rsid w:val="00E56955"/>
    <w:rsid w:val="00E60990"/>
    <w:rsid w:val="00E61848"/>
    <w:rsid w:val="00E62197"/>
    <w:rsid w:val="00E6239E"/>
    <w:rsid w:val="00E643A2"/>
    <w:rsid w:val="00E64E3F"/>
    <w:rsid w:val="00E66F70"/>
    <w:rsid w:val="00E67163"/>
    <w:rsid w:val="00E67E8A"/>
    <w:rsid w:val="00E71AD1"/>
    <w:rsid w:val="00E721C1"/>
    <w:rsid w:val="00E730D0"/>
    <w:rsid w:val="00E73747"/>
    <w:rsid w:val="00E74296"/>
    <w:rsid w:val="00E743E4"/>
    <w:rsid w:val="00E74A0D"/>
    <w:rsid w:val="00E753C6"/>
    <w:rsid w:val="00E75D74"/>
    <w:rsid w:val="00E76834"/>
    <w:rsid w:val="00E80309"/>
    <w:rsid w:val="00E80CD0"/>
    <w:rsid w:val="00E82B30"/>
    <w:rsid w:val="00E83AE5"/>
    <w:rsid w:val="00E83E93"/>
    <w:rsid w:val="00E851D1"/>
    <w:rsid w:val="00E858F1"/>
    <w:rsid w:val="00E859E7"/>
    <w:rsid w:val="00E87EF1"/>
    <w:rsid w:val="00E92091"/>
    <w:rsid w:val="00E9239B"/>
    <w:rsid w:val="00E92A77"/>
    <w:rsid w:val="00E94208"/>
    <w:rsid w:val="00E9444A"/>
    <w:rsid w:val="00E9476F"/>
    <w:rsid w:val="00E95CA7"/>
    <w:rsid w:val="00E96278"/>
    <w:rsid w:val="00E97029"/>
    <w:rsid w:val="00E97388"/>
    <w:rsid w:val="00E9771C"/>
    <w:rsid w:val="00E97C5B"/>
    <w:rsid w:val="00EA072A"/>
    <w:rsid w:val="00EA1C83"/>
    <w:rsid w:val="00EA7EA8"/>
    <w:rsid w:val="00EB202E"/>
    <w:rsid w:val="00EB26AE"/>
    <w:rsid w:val="00EB33FC"/>
    <w:rsid w:val="00EB3FA9"/>
    <w:rsid w:val="00EB4677"/>
    <w:rsid w:val="00EB54C4"/>
    <w:rsid w:val="00EB5FF1"/>
    <w:rsid w:val="00EB6692"/>
    <w:rsid w:val="00EB6A23"/>
    <w:rsid w:val="00EB7873"/>
    <w:rsid w:val="00EC1F8A"/>
    <w:rsid w:val="00EC2006"/>
    <w:rsid w:val="00EC23A3"/>
    <w:rsid w:val="00EC2A22"/>
    <w:rsid w:val="00EC2B4D"/>
    <w:rsid w:val="00EC39CD"/>
    <w:rsid w:val="00EC413E"/>
    <w:rsid w:val="00EC61DE"/>
    <w:rsid w:val="00EC68EB"/>
    <w:rsid w:val="00EC6B65"/>
    <w:rsid w:val="00EC75EC"/>
    <w:rsid w:val="00EC7DF6"/>
    <w:rsid w:val="00ED0F97"/>
    <w:rsid w:val="00ED236A"/>
    <w:rsid w:val="00ED4B2B"/>
    <w:rsid w:val="00ED4E26"/>
    <w:rsid w:val="00ED5324"/>
    <w:rsid w:val="00ED68D9"/>
    <w:rsid w:val="00ED6F51"/>
    <w:rsid w:val="00ED7A14"/>
    <w:rsid w:val="00ED7BFB"/>
    <w:rsid w:val="00EE0AA6"/>
    <w:rsid w:val="00EE0AF8"/>
    <w:rsid w:val="00EE0CD2"/>
    <w:rsid w:val="00EE162E"/>
    <w:rsid w:val="00EE2BD7"/>
    <w:rsid w:val="00EE3446"/>
    <w:rsid w:val="00EE45C3"/>
    <w:rsid w:val="00EE5E2B"/>
    <w:rsid w:val="00EE751F"/>
    <w:rsid w:val="00EE7A2C"/>
    <w:rsid w:val="00EF1576"/>
    <w:rsid w:val="00EF1D00"/>
    <w:rsid w:val="00EF21D4"/>
    <w:rsid w:val="00EF3AEF"/>
    <w:rsid w:val="00EF5B33"/>
    <w:rsid w:val="00EF6747"/>
    <w:rsid w:val="00EF7C89"/>
    <w:rsid w:val="00F00280"/>
    <w:rsid w:val="00F00756"/>
    <w:rsid w:val="00F01593"/>
    <w:rsid w:val="00F019D6"/>
    <w:rsid w:val="00F021D5"/>
    <w:rsid w:val="00F02925"/>
    <w:rsid w:val="00F02A0D"/>
    <w:rsid w:val="00F03A1F"/>
    <w:rsid w:val="00F06234"/>
    <w:rsid w:val="00F06280"/>
    <w:rsid w:val="00F0655C"/>
    <w:rsid w:val="00F0717A"/>
    <w:rsid w:val="00F07A2A"/>
    <w:rsid w:val="00F1133C"/>
    <w:rsid w:val="00F1231B"/>
    <w:rsid w:val="00F13156"/>
    <w:rsid w:val="00F14DE0"/>
    <w:rsid w:val="00F153DE"/>
    <w:rsid w:val="00F15BC4"/>
    <w:rsid w:val="00F15DAA"/>
    <w:rsid w:val="00F20BBB"/>
    <w:rsid w:val="00F20D82"/>
    <w:rsid w:val="00F2256A"/>
    <w:rsid w:val="00F254EE"/>
    <w:rsid w:val="00F255A2"/>
    <w:rsid w:val="00F32567"/>
    <w:rsid w:val="00F33BE2"/>
    <w:rsid w:val="00F33F48"/>
    <w:rsid w:val="00F34611"/>
    <w:rsid w:val="00F35B15"/>
    <w:rsid w:val="00F35C2B"/>
    <w:rsid w:val="00F3675D"/>
    <w:rsid w:val="00F36E13"/>
    <w:rsid w:val="00F36E95"/>
    <w:rsid w:val="00F370A7"/>
    <w:rsid w:val="00F3722B"/>
    <w:rsid w:val="00F410F5"/>
    <w:rsid w:val="00F4313C"/>
    <w:rsid w:val="00F437EE"/>
    <w:rsid w:val="00F45CFA"/>
    <w:rsid w:val="00F45E56"/>
    <w:rsid w:val="00F4613D"/>
    <w:rsid w:val="00F462AE"/>
    <w:rsid w:val="00F50548"/>
    <w:rsid w:val="00F51AEE"/>
    <w:rsid w:val="00F52251"/>
    <w:rsid w:val="00F542A6"/>
    <w:rsid w:val="00F54A2C"/>
    <w:rsid w:val="00F561AA"/>
    <w:rsid w:val="00F60309"/>
    <w:rsid w:val="00F6062A"/>
    <w:rsid w:val="00F62B0F"/>
    <w:rsid w:val="00F638B9"/>
    <w:rsid w:val="00F64324"/>
    <w:rsid w:val="00F64FDC"/>
    <w:rsid w:val="00F6640D"/>
    <w:rsid w:val="00F66411"/>
    <w:rsid w:val="00F668C3"/>
    <w:rsid w:val="00F66CEF"/>
    <w:rsid w:val="00F67042"/>
    <w:rsid w:val="00F672C6"/>
    <w:rsid w:val="00F67B7A"/>
    <w:rsid w:val="00F70447"/>
    <w:rsid w:val="00F71D59"/>
    <w:rsid w:val="00F71F5F"/>
    <w:rsid w:val="00F74D0E"/>
    <w:rsid w:val="00F750C6"/>
    <w:rsid w:val="00F750DC"/>
    <w:rsid w:val="00F75575"/>
    <w:rsid w:val="00F75F22"/>
    <w:rsid w:val="00F7656A"/>
    <w:rsid w:val="00F76D45"/>
    <w:rsid w:val="00F76FE0"/>
    <w:rsid w:val="00F77CE9"/>
    <w:rsid w:val="00F77D2B"/>
    <w:rsid w:val="00F8180B"/>
    <w:rsid w:val="00F81812"/>
    <w:rsid w:val="00F81ACF"/>
    <w:rsid w:val="00F82ED3"/>
    <w:rsid w:val="00F83050"/>
    <w:rsid w:val="00F84351"/>
    <w:rsid w:val="00F848E5"/>
    <w:rsid w:val="00F86185"/>
    <w:rsid w:val="00F86976"/>
    <w:rsid w:val="00F87B95"/>
    <w:rsid w:val="00F87F3E"/>
    <w:rsid w:val="00F905B3"/>
    <w:rsid w:val="00F91083"/>
    <w:rsid w:val="00F91683"/>
    <w:rsid w:val="00F92A1F"/>
    <w:rsid w:val="00F93901"/>
    <w:rsid w:val="00F93B4E"/>
    <w:rsid w:val="00F94299"/>
    <w:rsid w:val="00F95010"/>
    <w:rsid w:val="00F95D29"/>
    <w:rsid w:val="00F96B4A"/>
    <w:rsid w:val="00F96C9B"/>
    <w:rsid w:val="00F972A5"/>
    <w:rsid w:val="00FA1814"/>
    <w:rsid w:val="00FA1827"/>
    <w:rsid w:val="00FA298E"/>
    <w:rsid w:val="00FA3445"/>
    <w:rsid w:val="00FA3782"/>
    <w:rsid w:val="00FA3A1B"/>
    <w:rsid w:val="00FA49A5"/>
    <w:rsid w:val="00FA6083"/>
    <w:rsid w:val="00FA721A"/>
    <w:rsid w:val="00FA7BD6"/>
    <w:rsid w:val="00FB036E"/>
    <w:rsid w:val="00FB0664"/>
    <w:rsid w:val="00FB0734"/>
    <w:rsid w:val="00FB2620"/>
    <w:rsid w:val="00FB33BA"/>
    <w:rsid w:val="00FB37E2"/>
    <w:rsid w:val="00FB469C"/>
    <w:rsid w:val="00FB4A6D"/>
    <w:rsid w:val="00FB5753"/>
    <w:rsid w:val="00FB5A99"/>
    <w:rsid w:val="00FB7169"/>
    <w:rsid w:val="00FB7243"/>
    <w:rsid w:val="00FC1328"/>
    <w:rsid w:val="00FC2DEE"/>
    <w:rsid w:val="00FC3930"/>
    <w:rsid w:val="00FC3BE5"/>
    <w:rsid w:val="00FC4079"/>
    <w:rsid w:val="00FC49F9"/>
    <w:rsid w:val="00FC6BAB"/>
    <w:rsid w:val="00FC74ED"/>
    <w:rsid w:val="00FC7AF3"/>
    <w:rsid w:val="00FD031D"/>
    <w:rsid w:val="00FD0E95"/>
    <w:rsid w:val="00FD1FED"/>
    <w:rsid w:val="00FD2310"/>
    <w:rsid w:val="00FD23C6"/>
    <w:rsid w:val="00FD3989"/>
    <w:rsid w:val="00FD417B"/>
    <w:rsid w:val="00FD4B1A"/>
    <w:rsid w:val="00FD551F"/>
    <w:rsid w:val="00FD63A3"/>
    <w:rsid w:val="00FD7876"/>
    <w:rsid w:val="00FD7E69"/>
    <w:rsid w:val="00FE0227"/>
    <w:rsid w:val="00FE05B8"/>
    <w:rsid w:val="00FE0C70"/>
    <w:rsid w:val="00FE16BE"/>
    <w:rsid w:val="00FE32F6"/>
    <w:rsid w:val="00FE3E94"/>
    <w:rsid w:val="00FE4EF6"/>
    <w:rsid w:val="00FE6BEE"/>
    <w:rsid w:val="00FF005B"/>
    <w:rsid w:val="00FF0396"/>
    <w:rsid w:val="00FF087F"/>
    <w:rsid w:val="00FF0A3B"/>
    <w:rsid w:val="00FF11AB"/>
    <w:rsid w:val="00FF21F7"/>
    <w:rsid w:val="00FF35C8"/>
    <w:rsid w:val="00FF4AC1"/>
    <w:rsid w:val="00FF61E5"/>
    <w:rsid w:val="00FF70F6"/>
    <w:rsid w:val="00FF75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4B61"/>
  <w15:chartTrackingRefBased/>
  <w15:docId w15:val="{2CABE28E-F171-44BF-985F-CC6F97B4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7E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331D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483F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4549D"/>
    <w:pPr>
      <w:spacing w:after="0" w:line="240" w:lineRule="auto"/>
    </w:pPr>
    <w:rPr>
      <w:sz w:val="20"/>
      <w:szCs w:val="20"/>
    </w:rPr>
  </w:style>
  <w:style w:type="character" w:customStyle="1" w:styleId="NotedebasdepageCar">
    <w:name w:val="Note de bas de page Car"/>
    <w:basedOn w:val="Policepardfaut"/>
    <w:link w:val="Notedebasdepage"/>
    <w:uiPriority w:val="99"/>
    <w:rsid w:val="0044549D"/>
    <w:rPr>
      <w:sz w:val="20"/>
      <w:szCs w:val="20"/>
    </w:rPr>
  </w:style>
  <w:style w:type="character" w:styleId="Appelnotedebasdep">
    <w:name w:val="footnote reference"/>
    <w:basedOn w:val="Policepardfaut"/>
    <w:uiPriority w:val="99"/>
    <w:semiHidden/>
    <w:unhideWhenUsed/>
    <w:rsid w:val="0044549D"/>
    <w:rPr>
      <w:vertAlign w:val="superscript"/>
    </w:rPr>
  </w:style>
  <w:style w:type="paragraph" w:styleId="En-tte">
    <w:name w:val="header"/>
    <w:basedOn w:val="Normal"/>
    <w:link w:val="En-tteCar"/>
    <w:uiPriority w:val="99"/>
    <w:unhideWhenUsed/>
    <w:rsid w:val="003A67AF"/>
    <w:pPr>
      <w:tabs>
        <w:tab w:val="center" w:pos="4536"/>
        <w:tab w:val="right" w:pos="9072"/>
      </w:tabs>
      <w:spacing w:after="0" w:line="240" w:lineRule="auto"/>
    </w:pPr>
  </w:style>
  <w:style w:type="character" w:customStyle="1" w:styleId="En-tteCar">
    <w:name w:val="En-tête Car"/>
    <w:basedOn w:val="Policepardfaut"/>
    <w:link w:val="En-tte"/>
    <w:uiPriority w:val="99"/>
    <w:rsid w:val="003A67AF"/>
  </w:style>
  <w:style w:type="paragraph" w:styleId="Pieddepage">
    <w:name w:val="footer"/>
    <w:basedOn w:val="Normal"/>
    <w:link w:val="PieddepageCar"/>
    <w:uiPriority w:val="99"/>
    <w:unhideWhenUsed/>
    <w:rsid w:val="003A67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67AF"/>
  </w:style>
  <w:style w:type="paragraph" w:styleId="Paragraphedeliste">
    <w:name w:val="List Paragraph"/>
    <w:basedOn w:val="Normal"/>
    <w:uiPriority w:val="34"/>
    <w:qFormat/>
    <w:rsid w:val="00723D4E"/>
    <w:pPr>
      <w:ind w:left="720"/>
      <w:contextualSpacing/>
    </w:pPr>
  </w:style>
  <w:style w:type="paragraph" w:customStyle="1" w:styleId="Default">
    <w:name w:val="Default"/>
    <w:rsid w:val="003B789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543DD"/>
    <w:rPr>
      <w:rFonts w:ascii="Times New Roman" w:hAnsi="Times New Roman" w:cs="Times New Roman"/>
      <w:sz w:val="24"/>
      <w:szCs w:val="24"/>
    </w:rPr>
  </w:style>
  <w:style w:type="character" w:styleId="Lienhypertexte">
    <w:name w:val="Hyperlink"/>
    <w:basedOn w:val="Policepardfaut"/>
    <w:uiPriority w:val="99"/>
    <w:unhideWhenUsed/>
    <w:rsid w:val="00C9437B"/>
    <w:rPr>
      <w:color w:val="0563C1" w:themeColor="hyperlink"/>
      <w:u w:val="single"/>
    </w:rPr>
  </w:style>
  <w:style w:type="character" w:styleId="Mentionnonrsolue">
    <w:name w:val="Unresolved Mention"/>
    <w:basedOn w:val="Policepardfaut"/>
    <w:uiPriority w:val="99"/>
    <w:semiHidden/>
    <w:unhideWhenUsed/>
    <w:rsid w:val="00C9437B"/>
    <w:rPr>
      <w:color w:val="605E5C"/>
      <w:shd w:val="clear" w:color="auto" w:fill="E1DFDD"/>
    </w:rPr>
  </w:style>
  <w:style w:type="character" w:styleId="Lienhypertextesuivivisit">
    <w:name w:val="FollowedHyperlink"/>
    <w:basedOn w:val="Policepardfaut"/>
    <w:uiPriority w:val="99"/>
    <w:semiHidden/>
    <w:unhideWhenUsed/>
    <w:rsid w:val="00FA7BD6"/>
    <w:rPr>
      <w:color w:val="954F72" w:themeColor="followedHyperlink"/>
      <w:u w:val="single"/>
    </w:rPr>
  </w:style>
  <w:style w:type="table" w:styleId="Grilledutableau">
    <w:name w:val="Table Grid"/>
    <w:basedOn w:val="TableauNormal"/>
    <w:uiPriority w:val="39"/>
    <w:rsid w:val="009F1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BF0589"/>
    <w:pPr>
      <w:spacing w:after="0" w:line="240" w:lineRule="auto"/>
    </w:pPr>
    <w:rPr>
      <w:sz w:val="20"/>
      <w:szCs w:val="20"/>
    </w:rPr>
  </w:style>
  <w:style w:type="character" w:customStyle="1" w:styleId="NotedefinCar">
    <w:name w:val="Note de fin Car"/>
    <w:basedOn w:val="Policepardfaut"/>
    <w:link w:val="Notedefin"/>
    <w:uiPriority w:val="99"/>
    <w:semiHidden/>
    <w:rsid w:val="00BF0589"/>
    <w:rPr>
      <w:sz w:val="20"/>
      <w:szCs w:val="20"/>
    </w:rPr>
  </w:style>
  <w:style w:type="character" w:styleId="Appeldenotedefin">
    <w:name w:val="endnote reference"/>
    <w:basedOn w:val="Policepardfaut"/>
    <w:uiPriority w:val="99"/>
    <w:semiHidden/>
    <w:unhideWhenUsed/>
    <w:rsid w:val="00BF0589"/>
    <w:rPr>
      <w:vertAlign w:val="superscript"/>
    </w:rPr>
  </w:style>
  <w:style w:type="character" w:styleId="Marquedecommentaire">
    <w:name w:val="annotation reference"/>
    <w:basedOn w:val="Policepardfaut"/>
    <w:uiPriority w:val="99"/>
    <w:semiHidden/>
    <w:unhideWhenUsed/>
    <w:rsid w:val="00D7148C"/>
    <w:rPr>
      <w:sz w:val="16"/>
      <w:szCs w:val="16"/>
    </w:rPr>
  </w:style>
  <w:style w:type="paragraph" w:styleId="Commentaire">
    <w:name w:val="annotation text"/>
    <w:basedOn w:val="Normal"/>
    <w:link w:val="CommentaireCar"/>
    <w:uiPriority w:val="99"/>
    <w:semiHidden/>
    <w:unhideWhenUsed/>
    <w:rsid w:val="00D7148C"/>
    <w:pPr>
      <w:spacing w:line="240" w:lineRule="auto"/>
    </w:pPr>
    <w:rPr>
      <w:sz w:val="20"/>
      <w:szCs w:val="20"/>
    </w:rPr>
  </w:style>
  <w:style w:type="character" w:customStyle="1" w:styleId="CommentaireCar">
    <w:name w:val="Commentaire Car"/>
    <w:basedOn w:val="Policepardfaut"/>
    <w:link w:val="Commentaire"/>
    <w:uiPriority w:val="99"/>
    <w:semiHidden/>
    <w:rsid w:val="00D7148C"/>
    <w:rPr>
      <w:sz w:val="20"/>
      <w:szCs w:val="20"/>
    </w:rPr>
  </w:style>
  <w:style w:type="paragraph" w:styleId="Objetducommentaire">
    <w:name w:val="annotation subject"/>
    <w:basedOn w:val="Commentaire"/>
    <w:next w:val="Commentaire"/>
    <w:link w:val="ObjetducommentaireCar"/>
    <w:uiPriority w:val="99"/>
    <w:semiHidden/>
    <w:unhideWhenUsed/>
    <w:rsid w:val="00D7148C"/>
    <w:rPr>
      <w:b/>
      <w:bCs/>
    </w:rPr>
  </w:style>
  <w:style w:type="character" w:customStyle="1" w:styleId="ObjetducommentaireCar">
    <w:name w:val="Objet du commentaire Car"/>
    <w:basedOn w:val="CommentaireCar"/>
    <w:link w:val="Objetducommentaire"/>
    <w:uiPriority w:val="99"/>
    <w:semiHidden/>
    <w:rsid w:val="00D7148C"/>
    <w:rPr>
      <w:b/>
      <w:bCs/>
      <w:sz w:val="20"/>
      <w:szCs w:val="20"/>
    </w:rPr>
  </w:style>
  <w:style w:type="character" w:customStyle="1" w:styleId="Titre1Car">
    <w:name w:val="Titre 1 Car"/>
    <w:basedOn w:val="Policepardfaut"/>
    <w:link w:val="Titre1"/>
    <w:uiPriority w:val="9"/>
    <w:rsid w:val="00157E30"/>
    <w:rPr>
      <w:rFonts w:asciiTheme="majorHAnsi" w:eastAsiaTheme="majorEastAsia" w:hAnsiTheme="majorHAnsi" w:cstheme="majorBidi"/>
      <w:color w:val="2F5496" w:themeColor="accent1" w:themeShade="BF"/>
      <w:sz w:val="32"/>
      <w:szCs w:val="32"/>
    </w:rPr>
  </w:style>
  <w:style w:type="character" w:customStyle="1" w:styleId="hgkelc">
    <w:name w:val="hgkelc"/>
    <w:basedOn w:val="Policepardfaut"/>
    <w:rsid w:val="00E76834"/>
  </w:style>
  <w:style w:type="paragraph" w:styleId="Rvision">
    <w:name w:val="Revision"/>
    <w:hidden/>
    <w:uiPriority w:val="99"/>
    <w:semiHidden/>
    <w:rsid w:val="00956FB8"/>
    <w:pPr>
      <w:spacing w:after="0" w:line="240" w:lineRule="auto"/>
    </w:pPr>
  </w:style>
  <w:style w:type="paragraph" w:styleId="Listepuces">
    <w:name w:val="List Bullet"/>
    <w:basedOn w:val="Normal"/>
    <w:uiPriority w:val="99"/>
    <w:unhideWhenUsed/>
    <w:rsid w:val="009F09E3"/>
    <w:pPr>
      <w:numPr>
        <w:numId w:val="13"/>
      </w:numPr>
      <w:contextualSpacing/>
    </w:pPr>
  </w:style>
  <w:style w:type="character" w:customStyle="1" w:styleId="Titre3Car">
    <w:name w:val="Titre 3 Car"/>
    <w:basedOn w:val="Policepardfaut"/>
    <w:link w:val="Titre3"/>
    <w:uiPriority w:val="9"/>
    <w:rsid w:val="00483FC6"/>
    <w:rPr>
      <w:rFonts w:asciiTheme="majorHAnsi" w:eastAsiaTheme="majorEastAsia" w:hAnsiTheme="majorHAnsi" w:cstheme="majorBidi"/>
      <w:color w:val="1F3763" w:themeColor="accent1" w:themeShade="7F"/>
      <w:sz w:val="24"/>
      <w:szCs w:val="24"/>
    </w:rPr>
  </w:style>
  <w:style w:type="paragraph" w:customStyle="1" w:styleId="Brvesco-Normal">
    <w:name w:val="BrèvesÉco - Normal"/>
    <w:basedOn w:val="Normal"/>
    <w:uiPriority w:val="99"/>
    <w:rsid w:val="00483FC6"/>
    <w:pPr>
      <w:spacing w:after="0" w:line="260" w:lineRule="exact"/>
      <w:jc w:val="both"/>
    </w:pPr>
    <w:rPr>
      <w:rFonts w:ascii="Marianne" w:hAnsi="Marianne" w:cs="Times New Roman (Corps CS)"/>
      <w:color w:val="1A171B"/>
      <w:sz w:val="20"/>
      <w:szCs w:val="24"/>
    </w:rPr>
  </w:style>
  <w:style w:type="character" w:customStyle="1" w:styleId="whitespace-normal">
    <w:name w:val="whitespace-normal"/>
    <w:basedOn w:val="Policepardfaut"/>
    <w:rsid w:val="001204C6"/>
  </w:style>
  <w:style w:type="character" w:styleId="Accentuation">
    <w:name w:val="Emphasis"/>
    <w:basedOn w:val="Policepardfaut"/>
    <w:uiPriority w:val="20"/>
    <w:qFormat/>
    <w:rsid w:val="00724CA4"/>
    <w:rPr>
      <w:i/>
      <w:iCs/>
    </w:rPr>
  </w:style>
  <w:style w:type="character" w:styleId="lev">
    <w:name w:val="Strong"/>
    <w:basedOn w:val="Policepardfaut"/>
    <w:uiPriority w:val="22"/>
    <w:qFormat/>
    <w:rsid w:val="004B3B97"/>
    <w:rPr>
      <w:b/>
      <w:bCs/>
    </w:rPr>
  </w:style>
  <w:style w:type="character" w:customStyle="1" w:styleId="Titre2Car">
    <w:name w:val="Titre 2 Car"/>
    <w:basedOn w:val="Policepardfaut"/>
    <w:link w:val="Titre2"/>
    <w:uiPriority w:val="9"/>
    <w:rsid w:val="00E331D2"/>
    <w:rPr>
      <w:rFonts w:ascii="Times New Roman" w:eastAsia="Times New Roman" w:hAnsi="Times New Roman" w:cs="Times New Roman"/>
      <w:b/>
      <w:bCs/>
      <w:sz w:val="36"/>
      <w:szCs w:val="36"/>
      <w:lang w:eastAsia="fr-FR"/>
    </w:rPr>
  </w:style>
  <w:style w:type="paragraph" w:customStyle="1" w:styleId="isselectedend">
    <w:name w:val="isselectedend"/>
    <w:basedOn w:val="Normal"/>
    <w:rsid w:val="00E331D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0744">
      <w:bodyDiv w:val="1"/>
      <w:marLeft w:val="0"/>
      <w:marRight w:val="0"/>
      <w:marTop w:val="0"/>
      <w:marBottom w:val="0"/>
      <w:divBdr>
        <w:top w:val="none" w:sz="0" w:space="0" w:color="auto"/>
        <w:left w:val="none" w:sz="0" w:space="0" w:color="auto"/>
        <w:bottom w:val="none" w:sz="0" w:space="0" w:color="auto"/>
        <w:right w:val="none" w:sz="0" w:space="0" w:color="auto"/>
      </w:divBdr>
    </w:div>
    <w:div w:id="144322924">
      <w:bodyDiv w:val="1"/>
      <w:marLeft w:val="0"/>
      <w:marRight w:val="0"/>
      <w:marTop w:val="0"/>
      <w:marBottom w:val="0"/>
      <w:divBdr>
        <w:top w:val="none" w:sz="0" w:space="0" w:color="auto"/>
        <w:left w:val="none" w:sz="0" w:space="0" w:color="auto"/>
        <w:bottom w:val="none" w:sz="0" w:space="0" w:color="auto"/>
        <w:right w:val="none" w:sz="0" w:space="0" w:color="auto"/>
      </w:divBdr>
    </w:div>
    <w:div w:id="178547415">
      <w:bodyDiv w:val="1"/>
      <w:marLeft w:val="0"/>
      <w:marRight w:val="0"/>
      <w:marTop w:val="0"/>
      <w:marBottom w:val="0"/>
      <w:divBdr>
        <w:top w:val="none" w:sz="0" w:space="0" w:color="auto"/>
        <w:left w:val="none" w:sz="0" w:space="0" w:color="auto"/>
        <w:bottom w:val="none" w:sz="0" w:space="0" w:color="auto"/>
        <w:right w:val="none" w:sz="0" w:space="0" w:color="auto"/>
      </w:divBdr>
    </w:div>
    <w:div w:id="248656269">
      <w:bodyDiv w:val="1"/>
      <w:marLeft w:val="0"/>
      <w:marRight w:val="0"/>
      <w:marTop w:val="0"/>
      <w:marBottom w:val="0"/>
      <w:divBdr>
        <w:top w:val="none" w:sz="0" w:space="0" w:color="auto"/>
        <w:left w:val="none" w:sz="0" w:space="0" w:color="auto"/>
        <w:bottom w:val="none" w:sz="0" w:space="0" w:color="auto"/>
        <w:right w:val="none" w:sz="0" w:space="0" w:color="auto"/>
      </w:divBdr>
    </w:div>
    <w:div w:id="253587818">
      <w:bodyDiv w:val="1"/>
      <w:marLeft w:val="0"/>
      <w:marRight w:val="0"/>
      <w:marTop w:val="0"/>
      <w:marBottom w:val="0"/>
      <w:divBdr>
        <w:top w:val="none" w:sz="0" w:space="0" w:color="auto"/>
        <w:left w:val="none" w:sz="0" w:space="0" w:color="auto"/>
        <w:bottom w:val="none" w:sz="0" w:space="0" w:color="auto"/>
        <w:right w:val="none" w:sz="0" w:space="0" w:color="auto"/>
      </w:divBdr>
    </w:div>
    <w:div w:id="261838834">
      <w:bodyDiv w:val="1"/>
      <w:marLeft w:val="0"/>
      <w:marRight w:val="0"/>
      <w:marTop w:val="0"/>
      <w:marBottom w:val="0"/>
      <w:divBdr>
        <w:top w:val="none" w:sz="0" w:space="0" w:color="auto"/>
        <w:left w:val="none" w:sz="0" w:space="0" w:color="auto"/>
        <w:bottom w:val="none" w:sz="0" w:space="0" w:color="auto"/>
        <w:right w:val="none" w:sz="0" w:space="0" w:color="auto"/>
      </w:divBdr>
    </w:div>
    <w:div w:id="274754424">
      <w:bodyDiv w:val="1"/>
      <w:marLeft w:val="0"/>
      <w:marRight w:val="0"/>
      <w:marTop w:val="0"/>
      <w:marBottom w:val="0"/>
      <w:divBdr>
        <w:top w:val="none" w:sz="0" w:space="0" w:color="auto"/>
        <w:left w:val="none" w:sz="0" w:space="0" w:color="auto"/>
        <w:bottom w:val="none" w:sz="0" w:space="0" w:color="auto"/>
        <w:right w:val="none" w:sz="0" w:space="0" w:color="auto"/>
      </w:divBdr>
    </w:div>
    <w:div w:id="354815014">
      <w:bodyDiv w:val="1"/>
      <w:marLeft w:val="0"/>
      <w:marRight w:val="0"/>
      <w:marTop w:val="0"/>
      <w:marBottom w:val="0"/>
      <w:divBdr>
        <w:top w:val="none" w:sz="0" w:space="0" w:color="auto"/>
        <w:left w:val="none" w:sz="0" w:space="0" w:color="auto"/>
        <w:bottom w:val="none" w:sz="0" w:space="0" w:color="auto"/>
        <w:right w:val="none" w:sz="0" w:space="0" w:color="auto"/>
      </w:divBdr>
    </w:div>
    <w:div w:id="379676228">
      <w:bodyDiv w:val="1"/>
      <w:marLeft w:val="0"/>
      <w:marRight w:val="0"/>
      <w:marTop w:val="0"/>
      <w:marBottom w:val="0"/>
      <w:divBdr>
        <w:top w:val="none" w:sz="0" w:space="0" w:color="auto"/>
        <w:left w:val="none" w:sz="0" w:space="0" w:color="auto"/>
        <w:bottom w:val="none" w:sz="0" w:space="0" w:color="auto"/>
        <w:right w:val="none" w:sz="0" w:space="0" w:color="auto"/>
      </w:divBdr>
    </w:div>
    <w:div w:id="405760346">
      <w:bodyDiv w:val="1"/>
      <w:marLeft w:val="0"/>
      <w:marRight w:val="0"/>
      <w:marTop w:val="0"/>
      <w:marBottom w:val="0"/>
      <w:divBdr>
        <w:top w:val="none" w:sz="0" w:space="0" w:color="auto"/>
        <w:left w:val="none" w:sz="0" w:space="0" w:color="auto"/>
        <w:bottom w:val="none" w:sz="0" w:space="0" w:color="auto"/>
        <w:right w:val="none" w:sz="0" w:space="0" w:color="auto"/>
      </w:divBdr>
    </w:div>
    <w:div w:id="482355206">
      <w:bodyDiv w:val="1"/>
      <w:marLeft w:val="0"/>
      <w:marRight w:val="0"/>
      <w:marTop w:val="0"/>
      <w:marBottom w:val="0"/>
      <w:divBdr>
        <w:top w:val="none" w:sz="0" w:space="0" w:color="auto"/>
        <w:left w:val="none" w:sz="0" w:space="0" w:color="auto"/>
        <w:bottom w:val="none" w:sz="0" w:space="0" w:color="auto"/>
        <w:right w:val="none" w:sz="0" w:space="0" w:color="auto"/>
      </w:divBdr>
      <w:divsChild>
        <w:div w:id="1520779281">
          <w:marLeft w:val="0"/>
          <w:marRight w:val="0"/>
          <w:marTop w:val="0"/>
          <w:marBottom w:val="0"/>
          <w:divBdr>
            <w:top w:val="single" w:sz="2" w:space="0" w:color="auto"/>
            <w:left w:val="single" w:sz="2" w:space="0" w:color="auto"/>
            <w:bottom w:val="single" w:sz="2" w:space="0" w:color="auto"/>
            <w:right w:val="single" w:sz="2" w:space="0" w:color="auto"/>
          </w:divBdr>
          <w:divsChild>
            <w:div w:id="261108412">
              <w:marLeft w:val="0"/>
              <w:marRight w:val="0"/>
              <w:marTop w:val="0"/>
              <w:marBottom w:val="0"/>
              <w:divBdr>
                <w:top w:val="single" w:sz="2" w:space="0" w:color="auto"/>
                <w:left w:val="single" w:sz="2" w:space="0" w:color="auto"/>
                <w:bottom w:val="single" w:sz="2" w:space="0" w:color="auto"/>
                <w:right w:val="single" w:sz="2" w:space="0" w:color="auto"/>
              </w:divBdr>
              <w:divsChild>
                <w:div w:id="1145046554">
                  <w:marLeft w:val="0"/>
                  <w:marRight w:val="0"/>
                  <w:marTop w:val="0"/>
                  <w:marBottom w:val="0"/>
                  <w:divBdr>
                    <w:top w:val="single" w:sz="2" w:space="18" w:color="auto"/>
                    <w:left w:val="single" w:sz="2" w:space="18" w:color="auto"/>
                    <w:bottom w:val="single" w:sz="2" w:space="18" w:color="auto"/>
                    <w:right w:val="single" w:sz="2" w:space="18" w:color="auto"/>
                  </w:divBdr>
                  <w:divsChild>
                    <w:div w:id="1466700539">
                      <w:marLeft w:val="0"/>
                      <w:marRight w:val="0"/>
                      <w:marTop w:val="0"/>
                      <w:marBottom w:val="0"/>
                      <w:divBdr>
                        <w:top w:val="single" w:sz="2" w:space="0" w:color="auto"/>
                        <w:left w:val="single" w:sz="2" w:space="0" w:color="auto"/>
                        <w:bottom w:val="single" w:sz="2" w:space="0" w:color="auto"/>
                        <w:right w:val="single" w:sz="2" w:space="0" w:color="auto"/>
                      </w:divBdr>
                      <w:divsChild>
                        <w:div w:id="12539708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73829005">
          <w:marLeft w:val="0"/>
          <w:marRight w:val="0"/>
          <w:marTop w:val="0"/>
          <w:marBottom w:val="0"/>
          <w:divBdr>
            <w:top w:val="single" w:sz="2" w:space="0" w:color="auto"/>
            <w:left w:val="single" w:sz="2" w:space="0" w:color="auto"/>
            <w:bottom w:val="single" w:sz="2" w:space="0" w:color="auto"/>
            <w:right w:val="single" w:sz="2" w:space="0" w:color="auto"/>
          </w:divBdr>
          <w:divsChild>
            <w:div w:id="485825392">
              <w:marLeft w:val="0"/>
              <w:marRight w:val="0"/>
              <w:marTop w:val="0"/>
              <w:marBottom w:val="0"/>
              <w:divBdr>
                <w:top w:val="single" w:sz="2" w:space="0" w:color="auto"/>
                <w:left w:val="single" w:sz="2" w:space="0" w:color="auto"/>
                <w:bottom w:val="single" w:sz="2" w:space="0" w:color="auto"/>
                <w:right w:val="single" w:sz="2" w:space="0" w:color="auto"/>
              </w:divBdr>
              <w:divsChild>
                <w:div w:id="1648322451">
                  <w:marLeft w:val="0"/>
                  <w:marRight w:val="0"/>
                  <w:marTop w:val="0"/>
                  <w:marBottom w:val="0"/>
                  <w:divBdr>
                    <w:top w:val="single" w:sz="2" w:space="18" w:color="auto"/>
                    <w:left w:val="single" w:sz="2" w:space="18" w:color="auto"/>
                    <w:bottom w:val="single" w:sz="2" w:space="18" w:color="auto"/>
                    <w:right w:val="single" w:sz="2" w:space="18" w:color="auto"/>
                  </w:divBdr>
                  <w:divsChild>
                    <w:div w:id="1509709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46337038">
      <w:bodyDiv w:val="1"/>
      <w:marLeft w:val="0"/>
      <w:marRight w:val="0"/>
      <w:marTop w:val="0"/>
      <w:marBottom w:val="0"/>
      <w:divBdr>
        <w:top w:val="none" w:sz="0" w:space="0" w:color="auto"/>
        <w:left w:val="none" w:sz="0" w:space="0" w:color="auto"/>
        <w:bottom w:val="none" w:sz="0" w:space="0" w:color="auto"/>
        <w:right w:val="none" w:sz="0" w:space="0" w:color="auto"/>
      </w:divBdr>
      <w:divsChild>
        <w:div w:id="1179150511">
          <w:marLeft w:val="0"/>
          <w:marRight w:val="0"/>
          <w:marTop w:val="0"/>
          <w:marBottom w:val="0"/>
          <w:divBdr>
            <w:top w:val="none" w:sz="0" w:space="0" w:color="auto"/>
            <w:left w:val="none" w:sz="0" w:space="0" w:color="auto"/>
            <w:bottom w:val="none" w:sz="0" w:space="0" w:color="auto"/>
            <w:right w:val="none" w:sz="0" w:space="0" w:color="auto"/>
          </w:divBdr>
          <w:divsChild>
            <w:div w:id="1711145422">
              <w:marLeft w:val="0"/>
              <w:marRight w:val="0"/>
              <w:marTop w:val="0"/>
              <w:marBottom w:val="0"/>
              <w:divBdr>
                <w:top w:val="none" w:sz="0" w:space="0" w:color="auto"/>
                <w:left w:val="none" w:sz="0" w:space="0" w:color="auto"/>
                <w:bottom w:val="none" w:sz="0" w:space="0" w:color="auto"/>
                <w:right w:val="none" w:sz="0" w:space="0" w:color="auto"/>
              </w:divBdr>
              <w:divsChild>
                <w:div w:id="2002463016">
                  <w:marLeft w:val="0"/>
                  <w:marRight w:val="0"/>
                  <w:marTop w:val="0"/>
                  <w:marBottom w:val="0"/>
                  <w:divBdr>
                    <w:top w:val="none" w:sz="0" w:space="0" w:color="auto"/>
                    <w:left w:val="none" w:sz="0" w:space="0" w:color="auto"/>
                    <w:bottom w:val="none" w:sz="0" w:space="0" w:color="auto"/>
                    <w:right w:val="none" w:sz="0" w:space="0" w:color="auto"/>
                  </w:divBdr>
                  <w:divsChild>
                    <w:div w:id="1032389598">
                      <w:marLeft w:val="0"/>
                      <w:marRight w:val="0"/>
                      <w:marTop w:val="0"/>
                      <w:marBottom w:val="0"/>
                      <w:divBdr>
                        <w:top w:val="none" w:sz="0" w:space="0" w:color="auto"/>
                        <w:left w:val="none" w:sz="0" w:space="0" w:color="auto"/>
                        <w:bottom w:val="none" w:sz="0" w:space="0" w:color="auto"/>
                        <w:right w:val="none" w:sz="0" w:space="0" w:color="auto"/>
                      </w:divBdr>
                      <w:divsChild>
                        <w:div w:id="1725519706">
                          <w:marLeft w:val="0"/>
                          <w:marRight w:val="0"/>
                          <w:marTop w:val="0"/>
                          <w:marBottom w:val="0"/>
                          <w:divBdr>
                            <w:top w:val="none" w:sz="0" w:space="0" w:color="auto"/>
                            <w:left w:val="none" w:sz="0" w:space="0" w:color="auto"/>
                            <w:bottom w:val="none" w:sz="0" w:space="0" w:color="auto"/>
                            <w:right w:val="none" w:sz="0" w:space="0" w:color="auto"/>
                          </w:divBdr>
                          <w:divsChild>
                            <w:div w:id="244799947">
                              <w:marLeft w:val="0"/>
                              <w:marRight w:val="0"/>
                              <w:marTop w:val="0"/>
                              <w:marBottom w:val="0"/>
                              <w:divBdr>
                                <w:top w:val="none" w:sz="0" w:space="0" w:color="auto"/>
                                <w:left w:val="none" w:sz="0" w:space="0" w:color="auto"/>
                                <w:bottom w:val="none" w:sz="0" w:space="0" w:color="auto"/>
                                <w:right w:val="none" w:sz="0" w:space="0" w:color="auto"/>
                              </w:divBdr>
                              <w:divsChild>
                                <w:div w:id="959266590">
                                  <w:marLeft w:val="0"/>
                                  <w:marRight w:val="0"/>
                                  <w:marTop w:val="0"/>
                                  <w:marBottom w:val="0"/>
                                  <w:divBdr>
                                    <w:top w:val="none" w:sz="0" w:space="0" w:color="auto"/>
                                    <w:left w:val="none" w:sz="0" w:space="0" w:color="auto"/>
                                    <w:bottom w:val="none" w:sz="0" w:space="0" w:color="auto"/>
                                    <w:right w:val="none" w:sz="0" w:space="0" w:color="auto"/>
                                  </w:divBdr>
                                  <w:divsChild>
                                    <w:div w:id="3699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414992">
      <w:bodyDiv w:val="1"/>
      <w:marLeft w:val="0"/>
      <w:marRight w:val="0"/>
      <w:marTop w:val="0"/>
      <w:marBottom w:val="0"/>
      <w:divBdr>
        <w:top w:val="none" w:sz="0" w:space="0" w:color="auto"/>
        <w:left w:val="none" w:sz="0" w:space="0" w:color="auto"/>
        <w:bottom w:val="none" w:sz="0" w:space="0" w:color="auto"/>
        <w:right w:val="none" w:sz="0" w:space="0" w:color="auto"/>
      </w:divBdr>
      <w:divsChild>
        <w:div w:id="428433512">
          <w:marLeft w:val="0"/>
          <w:marRight w:val="0"/>
          <w:marTop w:val="0"/>
          <w:marBottom w:val="0"/>
          <w:divBdr>
            <w:top w:val="none" w:sz="0" w:space="0" w:color="auto"/>
            <w:left w:val="none" w:sz="0" w:space="0" w:color="auto"/>
            <w:bottom w:val="none" w:sz="0" w:space="0" w:color="auto"/>
            <w:right w:val="none" w:sz="0" w:space="0" w:color="auto"/>
          </w:divBdr>
          <w:divsChild>
            <w:div w:id="714045008">
              <w:marLeft w:val="0"/>
              <w:marRight w:val="0"/>
              <w:marTop w:val="0"/>
              <w:marBottom w:val="0"/>
              <w:divBdr>
                <w:top w:val="none" w:sz="0" w:space="0" w:color="auto"/>
                <w:left w:val="none" w:sz="0" w:space="0" w:color="auto"/>
                <w:bottom w:val="none" w:sz="0" w:space="0" w:color="auto"/>
                <w:right w:val="none" w:sz="0" w:space="0" w:color="auto"/>
              </w:divBdr>
              <w:divsChild>
                <w:div w:id="300817821">
                  <w:marLeft w:val="0"/>
                  <w:marRight w:val="0"/>
                  <w:marTop w:val="0"/>
                  <w:marBottom w:val="0"/>
                  <w:divBdr>
                    <w:top w:val="none" w:sz="0" w:space="0" w:color="auto"/>
                    <w:left w:val="none" w:sz="0" w:space="0" w:color="auto"/>
                    <w:bottom w:val="none" w:sz="0" w:space="0" w:color="auto"/>
                    <w:right w:val="none" w:sz="0" w:space="0" w:color="auto"/>
                  </w:divBdr>
                  <w:divsChild>
                    <w:div w:id="844634491">
                      <w:marLeft w:val="0"/>
                      <w:marRight w:val="0"/>
                      <w:marTop w:val="0"/>
                      <w:marBottom w:val="0"/>
                      <w:divBdr>
                        <w:top w:val="none" w:sz="0" w:space="0" w:color="auto"/>
                        <w:left w:val="none" w:sz="0" w:space="0" w:color="auto"/>
                        <w:bottom w:val="none" w:sz="0" w:space="0" w:color="auto"/>
                        <w:right w:val="none" w:sz="0" w:space="0" w:color="auto"/>
                      </w:divBdr>
                      <w:divsChild>
                        <w:div w:id="1714302947">
                          <w:marLeft w:val="0"/>
                          <w:marRight w:val="0"/>
                          <w:marTop w:val="0"/>
                          <w:marBottom w:val="0"/>
                          <w:divBdr>
                            <w:top w:val="none" w:sz="0" w:space="0" w:color="auto"/>
                            <w:left w:val="none" w:sz="0" w:space="0" w:color="auto"/>
                            <w:bottom w:val="none" w:sz="0" w:space="0" w:color="auto"/>
                            <w:right w:val="none" w:sz="0" w:space="0" w:color="auto"/>
                          </w:divBdr>
                          <w:divsChild>
                            <w:div w:id="371343664">
                              <w:marLeft w:val="0"/>
                              <w:marRight w:val="0"/>
                              <w:marTop w:val="0"/>
                              <w:marBottom w:val="0"/>
                              <w:divBdr>
                                <w:top w:val="none" w:sz="0" w:space="0" w:color="auto"/>
                                <w:left w:val="none" w:sz="0" w:space="0" w:color="auto"/>
                                <w:bottom w:val="none" w:sz="0" w:space="0" w:color="auto"/>
                                <w:right w:val="none" w:sz="0" w:space="0" w:color="auto"/>
                              </w:divBdr>
                              <w:divsChild>
                                <w:div w:id="253827378">
                                  <w:marLeft w:val="0"/>
                                  <w:marRight w:val="0"/>
                                  <w:marTop w:val="0"/>
                                  <w:marBottom w:val="0"/>
                                  <w:divBdr>
                                    <w:top w:val="none" w:sz="0" w:space="0" w:color="auto"/>
                                    <w:left w:val="none" w:sz="0" w:space="0" w:color="auto"/>
                                    <w:bottom w:val="none" w:sz="0" w:space="0" w:color="auto"/>
                                    <w:right w:val="none" w:sz="0" w:space="0" w:color="auto"/>
                                  </w:divBdr>
                                  <w:divsChild>
                                    <w:div w:id="526138529">
                                      <w:marLeft w:val="0"/>
                                      <w:marRight w:val="0"/>
                                      <w:marTop w:val="0"/>
                                      <w:marBottom w:val="0"/>
                                      <w:divBdr>
                                        <w:top w:val="none" w:sz="0" w:space="0" w:color="auto"/>
                                        <w:left w:val="none" w:sz="0" w:space="0" w:color="auto"/>
                                        <w:bottom w:val="none" w:sz="0" w:space="0" w:color="auto"/>
                                        <w:right w:val="none" w:sz="0" w:space="0" w:color="auto"/>
                                      </w:divBdr>
                                      <w:divsChild>
                                        <w:div w:id="982850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7569382">
      <w:bodyDiv w:val="1"/>
      <w:marLeft w:val="0"/>
      <w:marRight w:val="0"/>
      <w:marTop w:val="0"/>
      <w:marBottom w:val="0"/>
      <w:divBdr>
        <w:top w:val="none" w:sz="0" w:space="0" w:color="auto"/>
        <w:left w:val="none" w:sz="0" w:space="0" w:color="auto"/>
        <w:bottom w:val="none" w:sz="0" w:space="0" w:color="auto"/>
        <w:right w:val="none" w:sz="0" w:space="0" w:color="auto"/>
      </w:divBdr>
      <w:divsChild>
        <w:div w:id="697849319">
          <w:marLeft w:val="0"/>
          <w:marRight w:val="0"/>
          <w:marTop w:val="0"/>
          <w:marBottom w:val="0"/>
          <w:divBdr>
            <w:top w:val="none" w:sz="0" w:space="0" w:color="auto"/>
            <w:left w:val="none" w:sz="0" w:space="0" w:color="auto"/>
            <w:bottom w:val="none" w:sz="0" w:space="0" w:color="auto"/>
            <w:right w:val="none" w:sz="0" w:space="0" w:color="auto"/>
          </w:divBdr>
          <w:divsChild>
            <w:div w:id="799225898">
              <w:marLeft w:val="0"/>
              <w:marRight w:val="0"/>
              <w:marTop w:val="0"/>
              <w:marBottom w:val="0"/>
              <w:divBdr>
                <w:top w:val="none" w:sz="0" w:space="0" w:color="auto"/>
                <w:left w:val="none" w:sz="0" w:space="0" w:color="auto"/>
                <w:bottom w:val="none" w:sz="0" w:space="0" w:color="auto"/>
                <w:right w:val="none" w:sz="0" w:space="0" w:color="auto"/>
              </w:divBdr>
              <w:divsChild>
                <w:div w:id="14240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568">
      <w:bodyDiv w:val="1"/>
      <w:marLeft w:val="0"/>
      <w:marRight w:val="0"/>
      <w:marTop w:val="0"/>
      <w:marBottom w:val="0"/>
      <w:divBdr>
        <w:top w:val="none" w:sz="0" w:space="0" w:color="auto"/>
        <w:left w:val="none" w:sz="0" w:space="0" w:color="auto"/>
        <w:bottom w:val="none" w:sz="0" w:space="0" w:color="auto"/>
        <w:right w:val="none" w:sz="0" w:space="0" w:color="auto"/>
      </w:divBdr>
    </w:div>
    <w:div w:id="669715004">
      <w:bodyDiv w:val="1"/>
      <w:marLeft w:val="0"/>
      <w:marRight w:val="0"/>
      <w:marTop w:val="0"/>
      <w:marBottom w:val="0"/>
      <w:divBdr>
        <w:top w:val="none" w:sz="0" w:space="0" w:color="auto"/>
        <w:left w:val="none" w:sz="0" w:space="0" w:color="auto"/>
        <w:bottom w:val="none" w:sz="0" w:space="0" w:color="auto"/>
        <w:right w:val="none" w:sz="0" w:space="0" w:color="auto"/>
      </w:divBdr>
    </w:div>
    <w:div w:id="747267685">
      <w:bodyDiv w:val="1"/>
      <w:marLeft w:val="0"/>
      <w:marRight w:val="0"/>
      <w:marTop w:val="0"/>
      <w:marBottom w:val="0"/>
      <w:divBdr>
        <w:top w:val="none" w:sz="0" w:space="0" w:color="auto"/>
        <w:left w:val="none" w:sz="0" w:space="0" w:color="auto"/>
        <w:bottom w:val="none" w:sz="0" w:space="0" w:color="auto"/>
        <w:right w:val="none" w:sz="0" w:space="0" w:color="auto"/>
      </w:divBdr>
      <w:divsChild>
        <w:div w:id="1948582466">
          <w:marLeft w:val="0"/>
          <w:marRight w:val="0"/>
          <w:marTop w:val="0"/>
          <w:marBottom w:val="0"/>
          <w:divBdr>
            <w:top w:val="none" w:sz="0" w:space="0" w:color="auto"/>
            <w:left w:val="none" w:sz="0" w:space="0" w:color="auto"/>
            <w:bottom w:val="none" w:sz="0" w:space="0" w:color="auto"/>
            <w:right w:val="none" w:sz="0" w:space="0" w:color="auto"/>
          </w:divBdr>
          <w:divsChild>
            <w:div w:id="32846721">
              <w:marLeft w:val="0"/>
              <w:marRight w:val="0"/>
              <w:marTop w:val="0"/>
              <w:marBottom w:val="0"/>
              <w:divBdr>
                <w:top w:val="none" w:sz="0" w:space="0" w:color="auto"/>
                <w:left w:val="none" w:sz="0" w:space="0" w:color="auto"/>
                <w:bottom w:val="none" w:sz="0" w:space="0" w:color="auto"/>
                <w:right w:val="none" w:sz="0" w:space="0" w:color="auto"/>
              </w:divBdr>
              <w:divsChild>
                <w:div w:id="1884709628">
                  <w:marLeft w:val="0"/>
                  <w:marRight w:val="0"/>
                  <w:marTop w:val="0"/>
                  <w:marBottom w:val="0"/>
                  <w:divBdr>
                    <w:top w:val="none" w:sz="0" w:space="0" w:color="auto"/>
                    <w:left w:val="none" w:sz="0" w:space="0" w:color="auto"/>
                    <w:bottom w:val="none" w:sz="0" w:space="0" w:color="auto"/>
                    <w:right w:val="none" w:sz="0" w:space="0" w:color="auto"/>
                  </w:divBdr>
                  <w:divsChild>
                    <w:div w:id="1723483330">
                      <w:marLeft w:val="0"/>
                      <w:marRight w:val="0"/>
                      <w:marTop w:val="0"/>
                      <w:marBottom w:val="0"/>
                      <w:divBdr>
                        <w:top w:val="none" w:sz="0" w:space="0" w:color="auto"/>
                        <w:left w:val="none" w:sz="0" w:space="0" w:color="auto"/>
                        <w:bottom w:val="none" w:sz="0" w:space="0" w:color="auto"/>
                        <w:right w:val="none" w:sz="0" w:space="0" w:color="auto"/>
                      </w:divBdr>
                      <w:divsChild>
                        <w:div w:id="1931158670">
                          <w:marLeft w:val="0"/>
                          <w:marRight w:val="0"/>
                          <w:marTop w:val="0"/>
                          <w:marBottom w:val="0"/>
                          <w:divBdr>
                            <w:top w:val="none" w:sz="0" w:space="0" w:color="auto"/>
                            <w:left w:val="none" w:sz="0" w:space="0" w:color="auto"/>
                            <w:bottom w:val="none" w:sz="0" w:space="0" w:color="auto"/>
                            <w:right w:val="none" w:sz="0" w:space="0" w:color="auto"/>
                          </w:divBdr>
                          <w:divsChild>
                            <w:div w:id="1797603762">
                              <w:marLeft w:val="0"/>
                              <w:marRight w:val="0"/>
                              <w:marTop w:val="0"/>
                              <w:marBottom w:val="0"/>
                              <w:divBdr>
                                <w:top w:val="none" w:sz="0" w:space="0" w:color="auto"/>
                                <w:left w:val="none" w:sz="0" w:space="0" w:color="auto"/>
                                <w:bottom w:val="none" w:sz="0" w:space="0" w:color="auto"/>
                                <w:right w:val="none" w:sz="0" w:space="0" w:color="auto"/>
                              </w:divBdr>
                              <w:divsChild>
                                <w:div w:id="1482963614">
                                  <w:marLeft w:val="0"/>
                                  <w:marRight w:val="0"/>
                                  <w:marTop w:val="0"/>
                                  <w:marBottom w:val="0"/>
                                  <w:divBdr>
                                    <w:top w:val="none" w:sz="0" w:space="0" w:color="auto"/>
                                    <w:left w:val="none" w:sz="0" w:space="0" w:color="auto"/>
                                    <w:bottom w:val="none" w:sz="0" w:space="0" w:color="auto"/>
                                    <w:right w:val="none" w:sz="0" w:space="0" w:color="auto"/>
                                  </w:divBdr>
                                  <w:divsChild>
                                    <w:div w:id="5520010">
                                      <w:marLeft w:val="0"/>
                                      <w:marRight w:val="0"/>
                                      <w:marTop w:val="0"/>
                                      <w:marBottom w:val="0"/>
                                      <w:divBdr>
                                        <w:top w:val="none" w:sz="0" w:space="0" w:color="auto"/>
                                        <w:left w:val="none" w:sz="0" w:space="0" w:color="auto"/>
                                        <w:bottom w:val="none" w:sz="0" w:space="0" w:color="auto"/>
                                        <w:right w:val="none" w:sz="0" w:space="0" w:color="auto"/>
                                      </w:divBdr>
                                      <w:divsChild>
                                        <w:div w:id="146439764">
                                          <w:marLeft w:val="0"/>
                                          <w:marRight w:val="0"/>
                                          <w:marTop w:val="0"/>
                                          <w:marBottom w:val="0"/>
                                          <w:divBdr>
                                            <w:top w:val="none" w:sz="0" w:space="0" w:color="auto"/>
                                            <w:left w:val="none" w:sz="0" w:space="0" w:color="auto"/>
                                            <w:bottom w:val="none" w:sz="0" w:space="0" w:color="auto"/>
                                            <w:right w:val="none" w:sz="0" w:space="0" w:color="auto"/>
                                          </w:divBdr>
                                          <w:divsChild>
                                            <w:div w:id="1592542300">
                                              <w:marLeft w:val="0"/>
                                              <w:marRight w:val="0"/>
                                              <w:marTop w:val="0"/>
                                              <w:marBottom w:val="0"/>
                                              <w:divBdr>
                                                <w:top w:val="none" w:sz="0" w:space="0" w:color="auto"/>
                                                <w:left w:val="none" w:sz="0" w:space="0" w:color="auto"/>
                                                <w:bottom w:val="none" w:sz="0" w:space="0" w:color="auto"/>
                                                <w:right w:val="none" w:sz="0" w:space="0" w:color="auto"/>
                                              </w:divBdr>
                                              <w:divsChild>
                                                <w:div w:id="1612518013">
                                                  <w:marLeft w:val="0"/>
                                                  <w:marRight w:val="0"/>
                                                  <w:marTop w:val="0"/>
                                                  <w:marBottom w:val="0"/>
                                                  <w:divBdr>
                                                    <w:top w:val="none" w:sz="0" w:space="0" w:color="auto"/>
                                                    <w:left w:val="none" w:sz="0" w:space="0" w:color="auto"/>
                                                    <w:bottom w:val="none" w:sz="0" w:space="0" w:color="auto"/>
                                                    <w:right w:val="none" w:sz="0" w:space="0" w:color="auto"/>
                                                  </w:divBdr>
                                                  <w:divsChild>
                                                    <w:div w:id="1786998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3469654">
      <w:bodyDiv w:val="1"/>
      <w:marLeft w:val="0"/>
      <w:marRight w:val="0"/>
      <w:marTop w:val="0"/>
      <w:marBottom w:val="0"/>
      <w:divBdr>
        <w:top w:val="none" w:sz="0" w:space="0" w:color="auto"/>
        <w:left w:val="none" w:sz="0" w:space="0" w:color="auto"/>
        <w:bottom w:val="none" w:sz="0" w:space="0" w:color="auto"/>
        <w:right w:val="none" w:sz="0" w:space="0" w:color="auto"/>
      </w:divBdr>
    </w:div>
    <w:div w:id="988023225">
      <w:bodyDiv w:val="1"/>
      <w:marLeft w:val="0"/>
      <w:marRight w:val="0"/>
      <w:marTop w:val="0"/>
      <w:marBottom w:val="0"/>
      <w:divBdr>
        <w:top w:val="none" w:sz="0" w:space="0" w:color="auto"/>
        <w:left w:val="none" w:sz="0" w:space="0" w:color="auto"/>
        <w:bottom w:val="none" w:sz="0" w:space="0" w:color="auto"/>
        <w:right w:val="none" w:sz="0" w:space="0" w:color="auto"/>
      </w:divBdr>
    </w:div>
    <w:div w:id="1034188556">
      <w:bodyDiv w:val="1"/>
      <w:marLeft w:val="0"/>
      <w:marRight w:val="0"/>
      <w:marTop w:val="0"/>
      <w:marBottom w:val="0"/>
      <w:divBdr>
        <w:top w:val="none" w:sz="0" w:space="0" w:color="auto"/>
        <w:left w:val="none" w:sz="0" w:space="0" w:color="auto"/>
        <w:bottom w:val="none" w:sz="0" w:space="0" w:color="auto"/>
        <w:right w:val="none" w:sz="0" w:space="0" w:color="auto"/>
      </w:divBdr>
      <w:divsChild>
        <w:div w:id="338434552">
          <w:marLeft w:val="0"/>
          <w:marRight w:val="0"/>
          <w:marTop w:val="0"/>
          <w:marBottom w:val="0"/>
          <w:divBdr>
            <w:top w:val="none" w:sz="0" w:space="0" w:color="auto"/>
            <w:left w:val="none" w:sz="0" w:space="0" w:color="auto"/>
            <w:bottom w:val="none" w:sz="0" w:space="0" w:color="auto"/>
            <w:right w:val="none" w:sz="0" w:space="0" w:color="auto"/>
          </w:divBdr>
          <w:divsChild>
            <w:div w:id="1376781630">
              <w:marLeft w:val="0"/>
              <w:marRight w:val="0"/>
              <w:marTop w:val="0"/>
              <w:marBottom w:val="0"/>
              <w:divBdr>
                <w:top w:val="none" w:sz="0" w:space="0" w:color="auto"/>
                <w:left w:val="none" w:sz="0" w:space="0" w:color="auto"/>
                <w:bottom w:val="none" w:sz="0" w:space="0" w:color="auto"/>
                <w:right w:val="none" w:sz="0" w:space="0" w:color="auto"/>
              </w:divBdr>
              <w:divsChild>
                <w:div w:id="1568220945">
                  <w:marLeft w:val="0"/>
                  <w:marRight w:val="0"/>
                  <w:marTop w:val="0"/>
                  <w:marBottom w:val="0"/>
                  <w:divBdr>
                    <w:top w:val="none" w:sz="0" w:space="0" w:color="auto"/>
                    <w:left w:val="none" w:sz="0" w:space="0" w:color="auto"/>
                    <w:bottom w:val="none" w:sz="0" w:space="0" w:color="auto"/>
                    <w:right w:val="none" w:sz="0" w:space="0" w:color="auto"/>
                  </w:divBdr>
                  <w:divsChild>
                    <w:div w:id="917401143">
                      <w:marLeft w:val="0"/>
                      <w:marRight w:val="0"/>
                      <w:marTop w:val="0"/>
                      <w:marBottom w:val="0"/>
                      <w:divBdr>
                        <w:top w:val="none" w:sz="0" w:space="0" w:color="auto"/>
                        <w:left w:val="none" w:sz="0" w:space="0" w:color="auto"/>
                        <w:bottom w:val="none" w:sz="0" w:space="0" w:color="auto"/>
                        <w:right w:val="none" w:sz="0" w:space="0" w:color="auto"/>
                      </w:divBdr>
                      <w:divsChild>
                        <w:div w:id="1218665697">
                          <w:marLeft w:val="0"/>
                          <w:marRight w:val="0"/>
                          <w:marTop w:val="0"/>
                          <w:marBottom w:val="0"/>
                          <w:divBdr>
                            <w:top w:val="none" w:sz="0" w:space="0" w:color="auto"/>
                            <w:left w:val="none" w:sz="0" w:space="0" w:color="auto"/>
                            <w:bottom w:val="none" w:sz="0" w:space="0" w:color="auto"/>
                            <w:right w:val="none" w:sz="0" w:space="0" w:color="auto"/>
                          </w:divBdr>
                          <w:divsChild>
                            <w:div w:id="575241603">
                              <w:marLeft w:val="0"/>
                              <w:marRight w:val="0"/>
                              <w:marTop w:val="0"/>
                              <w:marBottom w:val="0"/>
                              <w:divBdr>
                                <w:top w:val="none" w:sz="0" w:space="0" w:color="auto"/>
                                <w:left w:val="none" w:sz="0" w:space="0" w:color="auto"/>
                                <w:bottom w:val="none" w:sz="0" w:space="0" w:color="auto"/>
                                <w:right w:val="none" w:sz="0" w:space="0" w:color="auto"/>
                              </w:divBdr>
                              <w:divsChild>
                                <w:div w:id="1686664031">
                                  <w:marLeft w:val="0"/>
                                  <w:marRight w:val="0"/>
                                  <w:marTop w:val="0"/>
                                  <w:marBottom w:val="0"/>
                                  <w:divBdr>
                                    <w:top w:val="none" w:sz="0" w:space="0" w:color="auto"/>
                                    <w:left w:val="none" w:sz="0" w:space="0" w:color="auto"/>
                                    <w:bottom w:val="none" w:sz="0" w:space="0" w:color="auto"/>
                                    <w:right w:val="none" w:sz="0" w:space="0" w:color="auto"/>
                                  </w:divBdr>
                                  <w:divsChild>
                                    <w:div w:id="24222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139731">
      <w:bodyDiv w:val="1"/>
      <w:marLeft w:val="0"/>
      <w:marRight w:val="0"/>
      <w:marTop w:val="0"/>
      <w:marBottom w:val="0"/>
      <w:divBdr>
        <w:top w:val="none" w:sz="0" w:space="0" w:color="auto"/>
        <w:left w:val="none" w:sz="0" w:space="0" w:color="auto"/>
        <w:bottom w:val="none" w:sz="0" w:space="0" w:color="auto"/>
        <w:right w:val="none" w:sz="0" w:space="0" w:color="auto"/>
      </w:divBdr>
    </w:div>
    <w:div w:id="1165516486">
      <w:bodyDiv w:val="1"/>
      <w:marLeft w:val="0"/>
      <w:marRight w:val="0"/>
      <w:marTop w:val="0"/>
      <w:marBottom w:val="0"/>
      <w:divBdr>
        <w:top w:val="none" w:sz="0" w:space="0" w:color="auto"/>
        <w:left w:val="none" w:sz="0" w:space="0" w:color="auto"/>
        <w:bottom w:val="none" w:sz="0" w:space="0" w:color="auto"/>
        <w:right w:val="none" w:sz="0" w:space="0" w:color="auto"/>
      </w:divBdr>
      <w:divsChild>
        <w:div w:id="76244787">
          <w:marLeft w:val="0"/>
          <w:marRight w:val="0"/>
          <w:marTop w:val="0"/>
          <w:marBottom w:val="0"/>
          <w:divBdr>
            <w:top w:val="none" w:sz="0" w:space="0" w:color="auto"/>
            <w:left w:val="none" w:sz="0" w:space="0" w:color="auto"/>
            <w:bottom w:val="none" w:sz="0" w:space="0" w:color="auto"/>
            <w:right w:val="none" w:sz="0" w:space="0" w:color="auto"/>
          </w:divBdr>
          <w:divsChild>
            <w:div w:id="1513882417">
              <w:marLeft w:val="0"/>
              <w:marRight w:val="0"/>
              <w:marTop w:val="0"/>
              <w:marBottom w:val="0"/>
              <w:divBdr>
                <w:top w:val="none" w:sz="0" w:space="0" w:color="auto"/>
                <w:left w:val="none" w:sz="0" w:space="0" w:color="auto"/>
                <w:bottom w:val="none" w:sz="0" w:space="0" w:color="auto"/>
                <w:right w:val="none" w:sz="0" w:space="0" w:color="auto"/>
              </w:divBdr>
              <w:divsChild>
                <w:div w:id="1960212080">
                  <w:marLeft w:val="0"/>
                  <w:marRight w:val="0"/>
                  <w:marTop w:val="0"/>
                  <w:marBottom w:val="0"/>
                  <w:divBdr>
                    <w:top w:val="none" w:sz="0" w:space="0" w:color="auto"/>
                    <w:left w:val="none" w:sz="0" w:space="0" w:color="auto"/>
                    <w:bottom w:val="none" w:sz="0" w:space="0" w:color="auto"/>
                    <w:right w:val="none" w:sz="0" w:space="0" w:color="auto"/>
                  </w:divBdr>
                  <w:divsChild>
                    <w:div w:id="1493452071">
                      <w:marLeft w:val="0"/>
                      <w:marRight w:val="0"/>
                      <w:marTop w:val="0"/>
                      <w:marBottom w:val="0"/>
                      <w:divBdr>
                        <w:top w:val="none" w:sz="0" w:space="0" w:color="auto"/>
                        <w:left w:val="none" w:sz="0" w:space="0" w:color="auto"/>
                        <w:bottom w:val="none" w:sz="0" w:space="0" w:color="auto"/>
                        <w:right w:val="none" w:sz="0" w:space="0" w:color="auto"/>
                      </w:divBdr>
                      <w:divsChild>
                        <w:div w:id="2057310725">
                          <w:marLeft w:val="0"/>
                          <w:marRight w:val="0"/>
                          <w:marTop w:val="0"/>
                          <w:marBottom w:val="0"/>
                          <w:divBdr>
                            <w:top w:val="none" w:sz="0" w:space="0" w:color="auto"/>
                            <w:left w:val="none" w:sz="0" w:space="0" w:color="auto"/>
                            <w:bottom w:val="none" w:sz="0" w:space="0" w:color="auto"/>
                            <w:right w:val="none" w:sz="0" w:space="0" w:color="auto"/>
                          </w:divBdr>
                          <w:divsChild>
                            <w:div w:id="1949772055">
                              <w:marLeft w:val="0"/>
                              <w:marRight w:val="0"/>
                              <w:marTop w:val="0"/>
                              <w:marBottom w:val="0"/>
                              <w:divBdr>
                                <w:top w:val="none" w:sz="0" w:space="0" w:color="auto"/>
                                <w:left w:val="none" w:sz="0" w:space="0" w:color="auto"/>
                                <w:bottom w:val="none" w:sz="0" w:space="0" w:color="auto"/>
                                <w:right w:val="none" w:sz="0" w:space="0" w:color="auto"/>
                              </w:divBdr>
                              <w:divsChild>
                                <w:div w:id="1042293462">
                                  <w:marLeft w:val="0"/>
                                  <w:marRight w:val="0"/>
                                  <w:marTop w:val="0"/>
                                  <w:marBottom w:val="0"/>
                                  <w:divBdr>
                                    <w:top w:val="none" w:sz="0" w:space="0" w:color="auto"/>
                                    <w:left w:val="none" w:sz="0" w:space="0" w:color="auto"/>
                                    <w:bottom w:val="none" w:sz="0" w:space="0" w:color="auto"/>
                                    <w:right w:val="none" w:sz="0" w:space="0" w:color="auto"/>
                                  </w:divBdr>
                                  <w:divsChild>
                                    <w:div w:id="2076582325">
                                      <w:marLeft w:val="0"/>
                                      <w:marRight w:val="0"/>
                                      <w:marTop w:val="0"/>
                                      <w:marBottom w:val="0"/>
                                      <w:divBdr>
                                        <w:top w:val="none" w:sz="0" w:space="0" w:color="auto"/>
                                        <w:left w:val="none" w:sz="0" w:space="0" w:color="auto"/>
                                        <w:bottom w:val="none" w:sz="0" w:space="0" w:color="auto"/>
                                        <w:right w:val="none" w:sz="0" w:space="0" w:color="auto"/>
                                      </w:divBdr>
                                      <w:divsChild>
                                        <w:div w:id="1556160310">
                                          <w:marLeft w:val="0"/>
                                          <w:marRight w:val="0"/>
                                          <w:marTop w:val="0"/>
                                          <w:marBottom w:val="0"/>
                                          <w:divBdr>
                                            <w:top w:val="none" w:sz="0" w:space="0" w:color="auto"/>
                                            <w:left w:val="none" w:sz="0" w:space="0" w:color="auto"/>
                                            <w:bottom w:val="none" w:sz="0" w:space="0" w:color="auto"/>
                                            <w:right w:val="none" w:sz="0" w:space="0" w:color="auto"/>
                                          </w:divBdr>
                                          <w:divsChild>
                                            <w:div w:id="1950355666">
                                              <w:marLeft w:val="0"/>
                                              <w:marRight w:val="0"/>
                                              <w:marTop w:val="0"/>
                                              <w:marBottom w:val="0"/>
                                              <w:divBdr>
                                                <w:top w:val="none" w:sz="0" w:space="0" w:color="auto"/>
                                                <w:left w:val="none" w:sz="0" w:space="0" w:color="auto"/>
                                                <w:bottom w:val="none" w:sz="0" w:space="0" w:color="auto"/>
                                                <w:right w:val="none" w:sz="0" w:space="0" w:color="auto"/>
                                              </w:divBdr>
                                              <w:divsChild>
                                                <w:div w:id="680158438">
                                                  <w:marLeft w:val="0"/>
                                                  <w:marRight w:val="0"/>
                                                  <w:marTop w:val="0"/>
                                                  <w:marBottom w:val="0"/>
                                                  <w:divBdr>
                                                    <w:top w:val="none" w:sz="0" w:space="0" w:color="auto"/>
                                                    <w:left w:val="none" w:sz="0" w:space="0" w:color="auto"/>
                                                    <w:bottom w:val="none" w:sz="0" w:space="0" w:color="auto"/>
                                                    <w:right w:val="none" w:sz="0" w:space="0" w:color="auto"/>
                                                  </w:divBdr>
                                                  <w:divsChild>
                                                    <w:div w:id="2034766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229028">
      <w:bodyDiv w:val="1"/>
      <w:marLeft w:val="0"/>
      <w:marRight w:val="0"/>
      <w:marTop w:val="0"/>
      <w:marBottom w:val="0"/>
      <w:divBdr>
        <w:top w:val="none" w:sz="0" w:space="0" w:color="auto"/>
        <w:left w:val="none" w:sz="0" w:space="0" w:color="auto"/>
        <w:bottom w:val="none" w:sz="0" w:space="0" w:color="auto"/>
        <w:right w:val="none" w:sz="0" w:space="0" w:color="auto"/>
      </w:divBdr>
    </w:div>
    <w:div w:id="1255162057">
      <w:bodyDiv w:val="1"/>
      <w:marLeft w:val="0"/>
      <w:marRight w:val="0"/>
      <w:marTop w:val="0"/>
      <w:marBottom w:val="0"/>
      <w:divBdr>
        <w:top w:val="none" w:sz="0" w:space="0" w:color="auto"/>
        <w:left w:val="none" w:sz="0" w:space="0" w:color="auto"/>
        <w:bottom w:val="none" w:sz="0" w:space="0" w:color="auto"/>
        <w:right w:val="none" w:sz="0" w:space="0" w:color="auto"/>
      </w:divBdr>
      <w:divsChild>
        <w:div w:id="1806072502">
          <w:marLeft w:val="0"/>
          <w:marRight w:val="0"/>
          <w:marTop w:val="0"/>
          <w:marBottom w:val="0"/>
          <w:divBdr>
            <w:top w:val="none" w:sz="0" w:space="0" w:color="auto"/>
            <w:left w:val="none" w:sz="0" w:space="0" w:color="auto"/>
            <w:bottom w:val="none" w:sz="0" w:space="0" w:color="auto"/>
            <w:right w:val="none" w:sz="0" w:space="0" w:color="auto"/>
          </w:divBdr>
          <w:divsChild>
            <w:div w:id="193008774">
              <w:marLeft w:val="0"/>
              <w:marRight w:val="0"/>
              <w:marTop w:val="0"/>
              <w:marBottom w:val="0"/>
              <w:divBdr>
                <w:top w:val="none" w:sz="0" w:space="0" w:color="auto"/>
                <w:left w:val="none" w:sz="0" w:space="0" w:color="auto"/>
                <w:bottom w:val="none" w:sz="0" w:space="0" w:color="auto"/>
                <w:right w:val="none" w:sz="0" w:space="0" w:color="auto"/>
              </w:divBdr>
              <w:divsChild>
                <w:div w:id="1304122284">
                  <w:marLeft w:val="0"/>
                  <w:marRight w:val="0"/>
                  <w:marTop w:val="0"/>
                  <w:marBottom w:val="0"/>
                  <w:divBdr>
                    <w:top w:val="none" w:sz="0" w:space="0" w:color="auto"/>
                    <w:left w:val="none" w:sz="0" w:space="0" w:color="auto"/>
                    <w:bottom w:val="none" w:sz="0" w:space="0" w:color="auto"/>
                    <w:right w:val="none" w:sz="0" w:space="0" w:color="auto"/>
                  </w:divBdr>
                  <w:divsChild>
                    <w:div w:id="849098791">
                      <w:marLeft w:val="0"/>
                      <w:marRight w:val="0"/>
                      <w:marTop w:val="0"/>
                      <w:marBottom w:val="0"/>
                      <w:divBdr>
                        <w:top w:val="none" w:sz="0" w:space="0" w:color="auto"/>
                        <w:left w:val="none" w:sz="0" w:space="0" w:color="auto"/>
                        <w:bottom w:val="none" w:sz="0" w:space="0" w:color="auto"/>
                        <w:right w:val="none" w:sz="0" w:space="0" w:color="auto"/>
                      </w:divBdr>
                      <w:divsChild>
                        <w:div w:id="1586456324">
                          <w:marLeft w:val="0"/>
                          <w:marRight w:val="0"/>
                          <w:marTop w:val="0"/>
                          <w:marBottom w:val="0"/>
                          <w:divBdr>
                            <w:top w:val="none" w:sz="0" w:space="0" w:color="auto"/>
                            <w:left w:val="none" w:sz="0" w:space="0" w:color="auto"/>
                            <w:bottom w:val="none" w:sz="0" w:space="0" w:color="auto"/>
                            <w:right w:val="none" w:sz="0" w:space="0" w:color="auto"/>
                          </w:divBdr>
                          <w:divsChild>
                            <w:div w:id="156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597463">
      <w:bodyDiv w:val="1"/>
      <w:marLeft w:val="0"/>
      <w:marRight w:val="0"/>
      <w:marTop w:val="0"/>
      <w:marBottom w:val="0"/>
      <w:divBdr>
        <w:top w:val="none" w:sz="0" w:space="0" w:color="auto"/>
        <w:left w:val="none" w:sz="0" w:space="0" w:color="auto"/>
        <w:bottom w:val="none" w:sz="0" w:space="0" w:color="auto"/>
        <w:right w:val="none" w:sz="0" w:space="0" w:color="auto"/>
      </w:divBdr>
    </w:div>
    <w:div w:id="1297755715">
      <w:bodyDiv w:val="1"/>
      <w:marLeft w:val="0"/>
      <w:marRight w:val="0"/>
      <w:marTop w:val="0"/>
      <w:marBottom w:val="0"/>
      <w:divBdr>
        <w:top w:val="none" w:sz="0" w:space="0" w:color="auto"/>
        <w:left w:val="none" w:sz="0" w:space="0" w:color="auto"/>
        <w:bottom w:val="none" w:sz="0" w:space="0" w:color="auto"/>
        <w:right w:val="none" w:sz="0" w:space="0" w:color="auto"/>
      </w:divBdr>
    </w:div>
    <w:div w:id="1302923335">
      <w:bodyDiv w:val="1"/>
      <w:marLeft w:val="0"/>
      <w:marRight w:val="0"/>
      <w:marTop w:val="0"/>
      <w:marBottom w:val="0"/>
      <w:divBdr>
        <w:top w:val="none" w:sz="0" w:space="0" w:color="auto"/>
        <w:left w:val="none" w:sz="0" w:space="0" w:color="auto"/>
        <w:bottom w:val="none" w:sz="0" w:space="0" w:color="auto"/>
        <w:right w:val="none" w:sz="0" w:space="0" w:color="auto"/>
      </w:divBdr>
    </w:div>
    <w:div w:id="1338460701">
      <w:bodyDiv w:val="1"/>
      <w:marLeft w:val="0"/>
      <w:marRight w:val="0"/>
      <w:marTop w:val="0"/>
      <w:marBottom w:val="0"/>
      <w:divBdr>
        <w:top w:val="none" w:sz="0" w:space="0" w:color="auto"/>
        <w:left w:val="none" w:sz="0" w:space="0" w:color="auto"/>
        <w:bottom w:val="none" w:sz="0" w:space="0" w:color="auto"/>
        <w:right w:val="none" w:sz="0" w:space="0" w:color="auto"/>
      </w:divBdr>
    </w:div>
    <w:div w:id="1358658515">
      <w:bodyDiv w:val="1"/>
      <w:marLeft w:val="0"/>
      <w:marRight w:val="0"/>
      <w:marTop w:val="0"/>
      <w:marBottom w:val="0"/>
      <w:divBdr>
        <w:top w:val="none" w:sz="0" w:space="0" w:color="auto"/>
        <w:left w:val="none" w:sz="0" w:space="0" w:color="auto"/>
        <w:bottom w:val="none" w:sz="0" w:space="0" w:color="auto"/>
        <w:right w:val="none" w:sz="0" w:space="0" w:color="auto"/>
      </w:divBdr>
    </w:div>
    <w:div w:id="1364016271">
      <w:bodyDiv w:val="1"/>
      <w:marLeft w:val="0"/>
      <w:marRight w:val="0"/>
      <w:marTop w:val="0"/>
      <w:marBottom w:val="0"/>
      <w:divBdr>
        <w:top w:val="none" w:sz="0" w:space="0" w:color="auto"/>
        <w:left w:val="none" w:sz="0" w:space="0" w:color="auto"/>
        <w:bottom w:val="none" w:sz="0" w:space="0" w:color="auto"/>
        <w:right w:val="none" w:sz="0" w:space="0" w:color="auto"/>
      </w:divBdr>
    </w:div>
    <w:div w:id="1366058781">
      <w:bodyDiv w:val="1"/>
      <w:marLeft w:val="0"/>
      <w:marRight w:val="0"/>
      <w:marTop w:val="0"/>
      <w:marBottom w:val="0"/>
      <w:divBdr>
        <w:top w:val="none" w:sz="0" w:space="0" w:color="auto"/>
        <w:left w:val="none" w:sz="0" w:space="0" w:color="auto"/>
        <w:bottom w:val="none" w:sz="0" w:space="0" w:color="auto"/>
        <w:right w:val="none" w:sz="0" w:space="0" w:color="auto"/>
      </w:divBdr>
    </w:div>
    <w:div w:id="1367871503">
      <w:bodyDiv w:val="1"/>
      <w:marLeft w:val="0"/>
      <w:marRight w:val="0"/>
      <w:marTop w:val="0"/>
      <w:marBottom w:val="0"/>
      <w:divBdr>
        <w:top w:val="none" w:sz="0" w:space="0" w:color="auto"/>
        <w:left w:val="none" w:sz="0" w:space="0" w:color="auto"/>
        <w:bottom w:val="none" w:sz="0" w:space="0" w:color="auto"/>
        <w:right w:val="none" w:sz="0" w:space="0" w:color="auto"/>
      </w:divBdr>
    </w:div>
    <w:div w:id="1383094192">
      <w:bodyDiv w:val="1"/>
      <w:marLeft w:val="0"/>
      <w:marRight w:val="0"/>
      <w:marTop w:val="0"/>
      <w:marBottom w:val="0"/>
      <w:divBdr>
        <w:top w:val="none" w:sz="0" w:space="0" w:color="auto"/>
        <w:left w:val="none" w:sz="0" w:space="0" w:color="auto"/>
        <w:bottom w:val="none" w:sz="0" w:space="0" w:color="auto"/>
        <w:right w:val="none" w:sz="0" w:space="0" w:color="auto"/>
      </w:divBdr>
    </w:div>
    <w:div w:id="1430613674">
      <w:bodyDiv w:val="1"/>
      <w:marLeft w:val="0"/>
      <w:marRight w:val="0"/>
      <w:marTop w:val="0"/>
      <w:marBottom w:val="0"/>
      <w:divBdr>
        <w:top w:val="none" w:sz="0" w:space="0" w:color="auto"/>
        <w:left w:val="none" w:sz="0" w:space="0" w:color="auto"/>
        <w:bottom w:val="none" w:sz="0" w:space="0" w:color="auto"/>
        <w:right w:val="none" w:sz="0" w:space="0" w:color="auto"/>
      </w:divBdr>
      <w:divsChild>
        <w:div w:id="866064388">
          <w:marLeft w:val="0"/>
          <w:marRight w:val="0"/>
          <w:marTop w:val="0"/>
          <w:marBottom w:val="0"/>
          <w:divBdr>
            <w:top w:val="none" w:sz="0" w:space="0" w:color="auto"/>
            <w:left w:val="none" w:sz="0" w:space="0" w:color="auto"/>
            <w:bottom w:val="none" w:sz="0" w:space="0" w:color="auto"/>
            <w:right w:val="none" w:sz="0" w:space="0" w:color="auto"/>
          </w:divBdr>
          <w:divsChild>
            <w:div w:id="445466580">
              <w:marLeft w:val="0"/>
              <w:marRight w:val="0"/>
              <w:marTop w:val="0"/>
              <w:marBottom w:val="0"/>
              <w:divBdr>
                <w:top w:val="none" w:sz="0" w:space="0" w:color="auto"/>
                <w:left w:val="none" w:sz="0" w:space="0" w:color="auto"/>
                <w:bottom w:val="none" w:sz="0" w:space="0" w:color="auto"/>
                <w:right w:val="none" w:sz="0" w:space="0" w:color="auto"/>
              </w:divBdr>
              <w:divsChild>
                <w:div w:id="21092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94942">
      <w:bodyDiv w:val="1"/>
      <w:marLeft w:val="0"/>
      <w:marRight w:val="0"/>
      <w:marTop w:val="0"/>
      <w:marBottom w:val="0"/>
      <w:divBdr>
        <w:top w:val="none" w:sz="0" w:space="0" w:color="auto"/>
        <w:left w:val="none" w:sz="0" w:space="0" w:color="auto"/>
        <w:bottom w:val="none" w:sz="0" w:space="0" w:color="auto"/>
        <w:right w:val="none" w:sz="0" w:space="0" w:color="auto"/>
      </w:divBdr>
    </w:div>
    <w:div w:id="1548420170">
      <w:bodyDiv w:val="1"/>
      <w:marLeft w:val="0"/>
      <w:marRight w:val="0"/>
      <w:marTop w:val="0"/>
      <w:marBottom w:val="0"/>
      <w:divBdr>
        <w:top w:val="none" w:sz="0" w:space="0" w:color="auto"/>
        <w:left w:val="none" w:sz="0" w:space="0" w:color="auto"/>
        <w:bottom w:val="none" w:sz="0" w:space="0" w:color="auto"/>
        <w:right w:val="none" w:sz="0" w:space="0" w:color="auto"/>
      </w:divBdr>
    </w:div>
    <w:div w:id="1577667235">
      <w:bodyDiv w:val="1"/>
      <w:marLeft w:val="0"/>
      <w:marRight w:val="0"/>
      <w:marTop w:val="0"/>
      <w:marBottom w:val="0"/>
      <w:divBdr>
        <w:top w:val="none" w:sz="0" w:space="0" w:color="auto"/>
        <w:left w:val="none" w:sz="0" w:space="0" w:color="auto"/>
        <w:bottom w:val="none" w:sz="0" w:space="0" w:color="auto"/>
        <w:right w:val="none" w:sz="0" w:space="0" w:color="auto"/>
      </w:divBdr>
    </w:div>
    <w:div w:id="1639262914">
      <w:bodyDiv w:val="1"/>
      <w:marLeft w:val="0"/>
      <w:marRight w:val="0"/>
      <w:marTop w:val="0"/>
      <w:marBottom w:val="0"/>
      <w:divBdr>
        <w:top w:val="none" w:sz="0" w:space="0" w:color="auto"/>
        <w:left w:val="none" w:sz="0" w:space="0" w:color="auto"/>
        <w:bottom w:val="none" w:sz="0" w:space="0" w:color="auto"/>
        <w:right w:val="none" w:sz="0" w:space="0" w:color="auto"/>
      </w:divBdr>
    </w:div>
    <w:div w:id="1710255936">
      <w:bodyDiv w:val="1"/>
      <w:marLeft w:val="0"/>
      <w:marRight w:val="0"/>
      <w:marTop w:val="0"/>
      <w:marBottom w:val="0"/>
      <w:divBdr>
        <w:top w:val="none" w:sz="0" w:space="0" w:color="auto"/>
        <w:left w:val="none" w:sz="0" w:space="0" w:color="auto"/>
        <w:bottom w:val="none" w:sz="0" w:space="0" w:color="auto"/>
        <w:right w:val="none" w:sz="0" w:space="0" w:color="auto"/>
      </w:divBdr>
    </w:div>
    <w:div w:id="1740714633">
      <w:bodyDiv w:val="1"/>
      <w:marLeft w:val="0"/>
      <w:marRight w:val="0"/>
      <w:marTop w:val="0"/>
      <w:marBottom w:val="0"/>
      <w:divBdr>
        <w:top w:val="none" w:sz="0" w:space="0" w:color="auto"/>
        <w:left w:val="none" w:sz="0" w:space="0" w:color="auto"/>
        <w:bottom w:val="none" w:sz="0" w:space="0" w:color="auto"/>
        <w:right w:val="none" w:sz="0" w:space="0" w:color="auto"/>
      </w:divBdr>
    </w:div>
    <w:div w:id="1745688999">
      <w:bodyDiv w:val="1"/>
      <w:marLeft w:val="0"/>
      <w:marRight w:val="0"/>
      <w:marTop w:val="0"/>
      <w:marBottom w:val="0"/>
      <w:divBdr>
        <w:top w:val="none" w:sz="0" w:space="0" w:color="auto"/>
        <w:left w:val="none" w:sz="0" w:space="0" w:color="auto"/>
        <w:bottom w:val="none" w:sz="0" w:space="0" w:color="auto"/>
        <w:right w:val="none" w:sz="0" w:space="0" w:color="auto"/>
      </w:divBdr>
    </w:div>
    <w:div w:id="1753356225">
      <w:bodyDiv w:val="1"/>
      <w:marLeft w:val="0"/>
      <w:marRight w:val="0"/>
      <w:marTop w:val="0"/>
      <w:marBottom w:val="0"/>
      <w:divBdr>
        <w:top w:val="none" w:sz="0" w:space="0" w:color="auto"/>
        <w:left w:val="none" w:sz="0" w:space="0" w:color="auto"/>
        <w:bottom w:val="none" w:sz="0" w:space="0" w:color="auto"/>
        <w:right w:val="none" w:sz="0" w:space="0" w:color="auto"/>
      </w:divBdr>
    </w:div>
    <w:div w:id="1829396229">
      <w:bodyDiv w:val="1"/>
      <w:marLeft w:val="0"/>
      <w:marRight w:val="0"/>
      <w:marTop w:val="0"/>
      <w:marBottom w:val="0"/>
      <w:divBdr>
        <w:top w:val="none" w:sz="0" w:space="0" w:color="auto"/>
        <w:left w:val="none" w:sz="0" w:space="0" w:color="auto"/>
        <w:bottom w:val="none" w:sz="0" w:space="0" w:color="auto"/>
        <w:right w:val="none" w:sz="0" w:space="0" w:color="auto"/>
      </w:divBdr>
    </w:div>
    <w:div w:id="1864243574">
      <w:bodyDiv w:val="1"/>
      <w:marLeft w:val="0"/>
      <w:marRight w:val="0"/>
      <w:marTop w:val="0"/>
      <w:marBottom w:val="0"/>
      <w:divBdr>
        <w:top w:val="none" w:sz="0" w:space="0" w:color="auto"/>
        <w:left w:val="none" w:sz="0" w:space="0" w:color="auto"/>
        <w:bottom w:val="none" w:sz="0" w:space="0" w:color="auto"/>
        <w:right w:val="none" w:sz="0" w:space="0" w:color="auto"/>
      </w:divBdr>
    </w:div>
    <w:div w:id="1894999033">
      <w:bodyDiv w:val="1"/>
      <w:marLeft w:val="0"/>
      <w:marRight w:val="0"/>
      <w:marTop w:val="0"/>
      <w:marBottom w:val="0"/>
      <w:divBdr>
        <w:top w:val="none" w:sz="0" w:space="0" w:color="auto"/>
        <w:left w:val="none" w:sz="0" w:space="0" w:color="auto"/>
        <w:bottom w:val="none" w:sz="0" w:space="0" w:color="auto"/>
        <w:right w:val="none" w:sz="0" w:space="0" w:color="auto"/>
      </w:divBdr>
    </w:div>
    <w:div w:id="1952470163">
      <w:bodyDiv w:val="1"/>
      <w:marLeft w:val="0"/>
      <w:marRight w:val="0"/>
      <w:marTop w:val="0"/>
      <w:marBottom w:val="0"/>
      <w:divBdr>
        <w:top w:val="none" w:sz="0" w:space="0" w:color="auto"/>
        <w:left w:val="none" w:sz="0" w:space="0" w:color="auto"/>
        <w:bottom w:val="none" w:sz="0" w:space="0" w:color="auto"/>
        <w:right w:val="none" w:sz="0" w:space="0" w:color="auto"/>
      </w:divBdr>
      <w:divsChild>
        <w:div w:id="2117217029">
          <w:marLeft w:val="0"/>
          <w:marRight w:val="0"/>
          <w:marTop w:val="0"/>
          <w:marBottom w:val="0"/>
          <w:divBdr>
            <w:top w:val="none" w:sz="0" w:space="0" w:color="auto"/>
            <w:left w:val="none" w:sz="0" w:space="0" w:color="auto"/>
            <w:bottom w:val="none" w:sz="0" w:space="0" w:color="auto"/>
            <w:right w:val="none" w:sz="0" w:space="0" w:color="auto"/>
          </w:divBdr>
          <w:divsChild>
            <w:div w:id="46884421">
              <w:marLeft w:val="0"/>
              <w:marRight w:val="0"/>
              <w:marTop w:val="0"/>
              <w:marBottom w:val="0"/>
              <w:divBdr>
                <w:top w:val="none" w:sz="0" w:space="0" w:color="auto"/>
                <w:left w:val="none" w:sz="0" w:space="0" w:color="auto"/>
                <w:bottom w:val="none" w:sz="0" w:space="0" w:color="auto"/>
                <w:right w:val="none" w:sz="0" w:space="0" w:color="auto"/>
              </w:divBdr>
              <w:divsChild>
                <w:div w:id="1457408555">
                  <w:marLeft w:val="0"/>
                  <w:marRight w:val="0"/>
                  <w:marTop w:val="0"/>
                  <w:marBottom w:val="0"/>
                  <w:divBdr>
                    <w:top w:val="none" w:sz="0" w:space="0" w:color="auto"/>
                    <w:left w:val="none" w:sz="0" w:space="0" w:color="auto"/>
                    <w:bottom w:val="none" w:sz="0" w:space="0" w:color="auto"/>
                    <w:right w:val="none" w:sz="0" w:space="0" w:color="auto"/>
                  </w:divBdr>
                  <w:divsChild>
                    <w:div w:id="1782991903">
                      <w:marLeft w:val="0"/>
                      <w:marRight w:val="0"/>
                      <w:marTop w:val="0"/>
                      <w:marBottom w:val="0"/>
                      <w:divBdr>
                        <w:top w:val="none" w:sz="0" w:space="0" w:color="auto"/>
                        <w:left w:val="none" w:sz="0" w:space="0" w:color="auto"/>
                        <w:bottom w:val="none" w:sz="0" w:space="0" w:color="auto"/>
                        <w:right w:val="none" w:sz="0" w:space="0" w:color="auto"/>
                      </w:divBdr>
                      <w:divsChild>
                        <w:div w:id="504785236">
                          <w:marLeft w:val="0"/>
                          <w:marRight w:val="0"/>
                          <w:marTop w:val="0"/>
                          <w:marBottom w:val="0"/>
                          <w:divBdr>
                            <w:top w:val="none" w:sz="0" w:space="0" w:color="auto"/>
                            <w:left w:val="none" w:sz="0" w:space="0" w:color="auto"/>
                            <w:bottom w:val="none" w:sz="0" w:space="0" w:color="auto"/>
                            <w:right w:val="none" w:sz="0" w:space="0" w:color="auto"/>
                          </w:divBdr>
                          <w:divsChild>
                            <w:div w:id="555119678">
                              <w:marLeft w:val="0"/>
                              <w:marRight w:val="0"/>
                              <w:marTop w:val="0"/>
                              <w:marBottom w:val="0"/>
                              <w:divBdr>
                                <w:top w:val="none" w:sz="0" w:space="0" w:color="auto"/>
                                <w:left w:val="none" w:sz="0" w:space="0" w:color="auto"/>
                                <w:bottom w:val="none" w:sz="0" w:space="0" w:color="auto"/>
                                <w:right w:val="none" w:sz="0" w:space="0" w:color="auto"/>
                              </w:divBdr>
                              <w:divsChild>
                                <w:div w:id="1628464336">
                                  <w:marLeft w:val="0"/>
                                  <w:marRight w:val="0"/>
                                  <w:marTop w:val="0"/>
                                  <w:marBottom w:val="0"/>
                                  <w:divBdr>
                                    <w:top w:val="none" w:sz="0" w:space="0" w:color="auto"/>
                                    <w:left w:val="none" w:sz="0" w:space="0" w:color="auto"/>
                                    <w:bottom w:val="none" w:sz="0" w:space="0" w:color="auto"/>
                                    <w:right w:val="none" w:sz="0" w:space="0" w:color="auto"/>
                                  </w:divBdr>
                                  <w:divsChild>
                                    <w:div w:id="1162086733">
                                      <w:marLeft w:val="0"/>
                                      <w:marRight w:val="0"/>
                                      <w:marTop w:val="0"/>
                                      <w:marBottom w:val="0"/>
                                      <w:divBdr>
                                        <w:top w:val="none" w:sz="0" w:space="0" w:color="auto"/>
                                        <w:left w:val="none" w:sz="0" w:space="0" w:color="auto"/>
                                        <w:bottom w:val="none" w:sz="0" w:space="0" w:color="auto"/>
                                        <w:right w:val="none" w:sz="0" w:space="0" w:color="auto"/>
                                      </w:divBdr>
                                      <w:divsChild>
                                        <w:div w:id="1309556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737771">
      <w:bodyDiv w:val="1"/>
      <w:marLeft w:val="0"/>
      <w:marRight w:val="0"/>
      <w:marTop w:val="0"/>
      <w:marBottom w:val="0"/>
      <w:divBdr>
        <w:top w:val="none" w:sz="0" w:space="0" w:color="auto"/>
        <w:left w:val="none" w:sz="0" w:space="0" w:color="auto"/>
        <w:bottom w:val="none" w:sz="0" w:space="0" w:color="auto"/>
        <w:right w:val="none" w:sz="0" w:space="0" w:color="auto"/>
      </w:divBdr>
    </w:div>
    <w:div w:id="201294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16563-ADD0-466D-A2D9-DAEC57D5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1683</Words>
  <Characters>9257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DESCAMPS Grégoire</dc:creator>
  <cp:keywords/>
  <dc:description/>
  <cp:lastModifiedBy>VANHUYSE Matheo</cp:lastModifiedBy>
  <cp:revision>2</cp:revision>
  <cp:lastPrinted>2026-06-17T09:10:00Z</cp:lastPrinted>
  <dcterms:created xsi:type="dcterms:W3CDTF">2026-08-05T07:24:00Z</dcterms:created>
  <dcterms:modified xsi:type="dcterms:W3CDTF">2026-08-05T07:24:00Z</dcterms:modified>
</cp:coreProperties>
</file>