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4F124" w14:textId="6902CEB3" w:rsidR="0021111A" w:rsidRPr="002C4910" w:rsidRDefault="008D58D1" w:rsidP="002C4910">
      <w:pPr>
        <w:pStyle w:val="Titre"/>
        <w:spacing w:after="120" w:line="276" w:lineRule="auto"/>
        <w:contextualSpacing w:val="0"/>
        <w:rPr>
          <w:rFonts w:cs="Arial"/>
          <w:sz w:val="32"/>
        </w:rPr>
      </w:pPr>
      <w:r w:rsidRPr="002C4910">
        <w:rPr>
          <w:rFonts w:cs="Arial"/>
          <w:bCs/>
          <w:sz w:val="32"/>
        </w:rPr>
        <w:t>Action des baill</w:t>
      </w:r>
      <w:r w:rsidR="007F12B8" w:rsidRPr="002C4910">
        <w:rPr>
          <w:rFonts w:cs="Arial"/>
          <w:bCs/>
          <w:sz w:val="32"/>
        </w:rPr>
        <w:t xml:space="preserve">eurs multilatéraux en soutien </w:t>
      </w:r>
      <w:r w:rsidR="00CC4E9F" w:rsidRPr="002C4910">
        <w:rPr>
          <w:rFonts w:cs="Arial"/>
          <w:bCs/>
          <w:sz w:val="32"/>
        </w:rPr>
        <w:t>à</w:t>
      </w:r>
      <w:r w:rsidR="007F12B8" w:rsidRPr="002C4910">
        <w:rPr>
          <w:rFonts w:cs="Arial"/>
          <w:bCs/>
          <w:sz w:val="32"/>
        </w:rPr>
        <w:t xml:space="preserve"> la Tunisie</w:t>
      </w:r>
    </w:p>
    <w:p w14:paraId="047DE475" w14:textId="77777777" w:rsidR="00AA3216" w:rsidRDefault="00AA3216">
      <w:pPr>
        <w:pStyle w:val="Paragraphedeliste"/>
        <w:spacing w:after="120"/>
        <w:ind w:left="1080"/>
        <w:contextualSpacing w:val="0"/>
        <w:rPr>
          <w:rFonts w:eastAsiaTheme="majorEastAsia" w:cs="Arial"/>
          <w:b/>
          <w:bCs/>
          <w:iCs/>
          <w:color w:val="122255"/>
          <w:sz w:val="24"/>
          <w:szCs w:val="32"/>
        </w:rPr>
      </w:pPr>
      <w:bookmarkStart w:id="0" w:name="anActuHead"/>
      <w:bookmarkEnd w:id="0"/>
    </w:p>
    <w:p w14:paraId="1196D36F" w14:textId="77777777" w:rsidR="00277B3A" w:rsidRPr="002C4910" w:rsidRDefault="00277B3A">
      <w:pPr>
        <w:pStyle w:val="Paragraphedeliste"/>
        <w:spacing w:after="120"/>
        <w:ind w:left="1080"/>
        <w:contextualSpacing w:val="0"/>
        <w:rPr>
          <w:rFonts w:eastAsiaTheme="majorEastAsia" w:cs="Arial"/>
          <w:b/>
          <w:bCs/>
          <w:iCs/>
          <w:color w:val="122255"/>
          <w:sz w:val="24"/>
          <w:szCs w:val="32"/>
        </w:rPr>
      </w:pPr>
    </w:p>
    <w:p w14:paraId="0AB3D378" w14:textId="7BC7BDC8" w:rsidR="008D58D1" w:rsidRPr="002C4910" w:rsidRDefault="00CC4E9F">
      <w:pPr>
        <w:pStyle w:val="Paragraphedeliste"/>
        <w:numPr>
          <w:ilvl w:val="0"/>
          <w:numId w:val="19"/>
        </w:numPr>
        <w:spacing w:after="0"/>
        <w:ind w:left="1077"/>
        <w:contextualSpacing w:val="0"/>
        <w:rPr>
          <w:rFonts w:eastAsiaTheme="majorEastAsia" w:cs="Arial"/>
          <w:b/>
          <w:bCs/>
          <w:iCs/>
          <w:color w:val="122255"/>
          <w:sz w:val="24"/>
          <w:szCs w:val="32"/>
        </w:rPr>
      </w:pPr>
      <w:r w:rsidRPr="002C4910">
        <w:rPr>
          <w:rFonts w:eastAsiaTheme="majorEastAsia" w:cs="Arial"/>
          <w:b/>
          <w:bCs/>
          <w:iCs/>
          <w:color w:val="122255"/>
          <w:sz w:val="24"/>
          <w:szCs w:val="32"/>
        </w:rPr>
        <w:t>L</w:t>
      </w:r>
      <w:r w:rsidR="007F12B8" w:rsidRPr="002C4910">
        <w:rPr>
          <w:rFonts w:eastAsiaTheme="majorEastAsia" w:cs="Arial"/>
          <w:b/>
          <w:bCs/>
          <w:iCs/>
          <w:color w:val="122255"/>
          <w:sz w:val="24"/>
          <w:szCs w:val="32"/>
        </w:rPr>
        <w:t>es instances européennes</w:t>
      </w:r>
    </w:p>
    <w:p w14:paraId="38C8ABC0" w14:textId="6E8E78B0" w:rsidR="00754BF7" w:rsidRPr="002C4910" w:rsidRDefault="00754BF7" w:rsidP="00277B3A">
      <w:pPr>
        <w:pStyle w:val="Paragraphedeliste"/>
        <w:spacing w:after="0"/>
        <w:ind w:left="1077"/>
        <w:contextualSpacing w:val="0"/>
        <w:jc w:val="both"/>
        <w:rPr>
          <w:rFonts w:eastAsiaTheme="majorEastAsia" w:cs="Arial"/>
          <w:b/>
          <w:bCs/>
          <w:iCs/>
          <w:color w:val="122255"/>
          <w:sz w:val="24"/>
          <w:szCs w:val="32"/>
        </w:rPr>
      </w:pPr>
    </w:p>
    <w:p w14:paraId="5C385C10" w14:textId="48FAD591" w:rsidR="007F12B8" w:rsidRPr="002C4910" w:rsidRDefault="000E103B">
      <w:pPr>
        <w:spacing w:after="120"/>
        <w:jc w:val="both"/>
        <w:rPr>
          <w:rFonts w:eastAsiaTheme="majorEastAsia" w:cs="Arial"/>
          <w:b/>
          <w:bCs/>
          <w:i/>
          <w:iCs/>
          <w:color w:val="122255"/>
          <w:szCs w:val="28"/>
        </w:rPr>
      </w:pPr>
      <w:r w:rsidRPr="002C4910">
        <w:rPr>
          <w:rFonts w:eastAsiaTheme="majorEastAsia" w:cs="Arial"/>
          <w:b/>
          <w:bCs/>
          <w:i/>
          <w:iCs/>
          <w:color w:val="122255"/>
          <w:szCs w:val="28"/>
        </w:rPr>
        <w:t xml:space="preserve">Union Européenne </w:t>
      </w:r>
      <w:r w:rsidR="007F12B8" w:rsidRPr="002C4910">
        <w:rPr>
          <w:rFonts w:eastAsiaTheme="majorEastAsia" w:cs="Arial"/>
          <w:b/>
          <w:bCs/>
          <w:i/>
          <w:iCs/>
          <w:color w:val="122255"/>
          <w:szCs w:val="28"/>
        </w:rPr>
        <w:t>:</w:t>
      </w:r>
    </w:p>
    <w:p w14:paraId="28C6097E" w14:textId="02DCF7F8" w:rsidR="000E1F67" w:rsidRPr="002C4910" w:rsidRDefault="000E1F67">
      <w:pPr>
        <w:spacing w:after="120"/>
        <w:jc w:val="both"/>
        <w:rPr>
          <w:rFonts w:eastAsia="Times New Roman" w:cs="Arial"/>
          <w:szCs w:val="20"/>
          <w:lang w:eastAsia="fr-FR"/>
        </w:rPr>
      </w:pPr>
      <w:r w:rsidRPr="002C4910">
        <w:rPr>
          <w:rFonts w:eastAsia="Times New Roman" w:cs="Arial"/>
          <w:szCs w:val="20"/>
          <w:u w:val="single"/>
          <w:lang w:eastAsia="fr-FR"/>
        </w:rPr>
        <w:t>L’UE a engagé depuis la révolution plus de 2 Mds€ de financement en faveur de la Tunisie – dont 1,3 Md€ sous la forme de dons</w:t>
      </w:r>
      <w:r w:rsidRPr="002C4910">
        <w:rPr>
          <w:rFonts w:eastAsia="Times New Roman" w:cs="Arial"/>
          <w:szCs w:val="20"/>
          <w:lang w:eastAsia="fr-FR"/>
        </w:rPr>
        <w:t xml:space="preserve">. Sur la période 2014-2016, l’action de l’UE s’est inscrite dans le cadre d’un programme couvrant trois domaines d’intervention prioritaires : la mise en œuvre des </w:t>
      </w:r>
      <w:r w:rsidRPr="002C4910">
        <w:rPr>
          <w:rFonts w:eastAsia="Times New Roman" w:cs="Arial"/>
          <w:szCs w:val="20"/>
          <w:u w:val="single"/>
          <w:lang w:eastAsia="fr-FR"/>
        </w:rPr>
        <w:t>réformes socio-économiques</w:t>
      </w:r>
      <w:r w:rsidRPr="002C4910">
        <w:rPr>
          <w:rFonts w:eastAsia="Times New Roman" w:cs="Arial"/>
          <w:szCs w:val="20"/>
          <w:lang w:eastAsia="fr-FR"/>
        </w:rPr>
        <w:t xml:space="preserve">, le </w:t>
      </w:r>
      <w:r w:rsidRPr="002C4910">
        <w:rPr>
          <w:rFonts w:eastAsia="Times New Roman" w:cs="Arial"/>
          <w:szCs w:val="20"/>
          <w:u w:val="single"/>
          <w:lang w:eastAsia="fr-FR"/>
        </w:rPr>
        <w:t>développement plus équilibré et durable dans l’ensemble des régions</w:t>
      </w:r>
      <w:r w:rsidRPr="002C4910">
        <w:rPr>
          <w:rFonts w:eastAsia="Times New Roman" w:cs="Arial"/>
          <w:szCs w:val="20"/>
          <w:lang w:eastAsia="fr-FR"/>
        </w:rPr>
        <w:t xml:space="preserve"> et enfin l’</w:t>
      </w:r>
      <w:r w:rsidRPr="002C4910">
        <w:rPr>
          <w:rFonts w:eastAsia="Times New Roman" w:cs="Arial"/>
          <w:szCs w:val="20"/>
          <w:u w:val="single"/>
          <w:lang w:eastAsia="fr-FR"/>
        </w:rPr>
        <w:t>État de droit et la gouvernance</w:t>
      </w:r>
      <w:r w:rsidRPr="002C4910">
        <w:rPr>
          <w:rFonts w:eastAsia="Times New Roman" w:cs="Arial"/>
          <w:szCs w:val="20"/>
          <w:lang w:eastAsia="fr-FR"/>
        </w:rPr>
        <w:t xml:space="preserve">. </w:t>
      </w:r>
      <w:r w:rsidRPr="002C4910">
        <w:rPr>
          <w:rFonts w:eastAsia="Times New Roman" w:cs="Arial"/>
          <w:szCs w:val="20"/>
          <w:u w:val="single"/>
          <w:lang w:eastAsia="fr-FR"/>
        </w:rPr>
        <w:t>En 2016, plus de 250 M€ de financements nouveaux ont été engagés</w:t>
      </w:r>
      <w:r w:rsidRPr="002C4910">
        <w:rPr>
          <w:rFonts w:eastAsia="Times New Roman" w:cs="Arial"/>
          <w:szCs w:val="20"/>
          <w:lang w:eastAsia="fr-FR"/>
        </w:rPr>
        <w:t>, majoritairement au titre de l’Instrument Européen de Voisinage (IEV – sous la forme de dons) : modernisation de l’administration publique tunisienne</w:t>
      </w:r>
      <w:r w:rsidR="002536E3" w:rsidRPr="002C4910">
        <w:rPr>
          <w:rFonts w:eastAsia="Times New Roman" w:cs="Arial"/>
          <w:szCs w:val="20"/>
          <w:lang w:eastAsia="fr-FR"/>
        </w:rPr>
        <w:t> </w:t>
      </w:r>
      <w:r w:rsidRPr="002C4910">
        <w:rPr>
          <w:rFonts w:eastAsia="Times New Roman" w:cs="Arial"/>
          <w:szCs w:val="20"/>
          <w:lang w:eastAsia="fr-FR"/>
        </w:rPr>
        <w:t>; programme éducation, mobilité, recherche et innovation ; initiative pilote pour le développement local intégré</w:t>
      </w:r>
      <w:r w:rsidR="002536E3" w:rsidRPr="002C4910">
        <w:rPr>
          <w:rFonts w:eastAsia="Times New Roman" w:cs="Arial"/>
          <w:szCs w:val="20"/>
          <w:lang w:eastAsia="fr-FR"/>
        </w:rPr>
        <w:t> </w:t>
      </w:r>
      <w:r w:rsidRPr="002C4910">
        <w:rPr>
          <w:rFonts w:eastAsia="Times New Roman" w:cs="Arial"/>
          <w:szCs w:val="20"/>
          <w:lang w:eastAsia="fr-FR"/>
        </w:rPr>
        <w:t>; programme de soutien au secteur de la santé ; etc. L’UE est également intervenue au travers d’autres instruments tels que la Facilité d’Investissement Voisinage (FIV) qui permet de compléter le prêt d’une institution financière européenne par une subvention (37 M€ engagés en 2016).</w:t>
      </w:r>
    </w:p>
    <w:p w14:paraId="5066F440" w14:textId="77777777" w:rsidR="000E1F67" w:rsidRPr="002C4910" w:rsidRDefault="000E1F67">
      <w:pPr>
        <w:spacing w:after="120"/>
        <w:jc w:val="both"/>
        <w:rPr>
          <w:rFonts w:eastAsia="Times New Roman" w:cs="Arial"/>
          <w:szCs w:val="20"/>
          <w:lang w:eastAsia="fr-FR"/>
        </w:rPr>
      </w:pPr>
      <w:r w:rsidRPr="002C4910">
        <w:rPr>
          <w:rFonts w:eastAsia="Times New Roman" w:cs="Arial"/>
          <w:szCs w:val="20"/>
          <w:u w:val="single"/>
          <w:lang w:eastAsia="fr-FR"/>
        </w:rPr>
        <w:t>Un nouveau cadre unique d’appui 2017-2020 a été adopté en septembre 2017 portant l’engagement de l’UE à 300 M€ par an sous la forme de don</w:t>
      </w:r>
      <w:r w:rsidRPr="00277B3A">
        <w:rPr>
          <w:rFonts w:eastAsia="Times New Roman" w:cs="Arial"/>
          <w:szCs w:val="20"/>
          <w:u w:val="single"/>
          <w:lang w:eastAsia="fr-FR"/>
        </w:rPr>
        <w:t xml:space="preserve"> dès 2017</w:t>
      </w:r>
      <w:r w:rsidRPr="002C4910">
        <w:rPr>
          <w:rFonts w:eastAsia="Times New Roman" w:cs="Arial"/>
          <w:szCs w:val="20"/>
          <w:lang w:eastAsia="fr-FR"/>
        </w:rPr>
        <w:t> : appui au commerce et à la compétitivité (90 M€) ; appui à la réforme fiscale, l'inclusion financière, et le développement de l'économie sociale et solidaire (70 M€) ; troisième phase du programme d’appui à la réforme de la justice (60 M€), objectif transition énergétique (50 M€) ; etc.</w:t>
      </w:r>
    </w:p>
    <w:p w14:paraId="18B50E0C" w14:textId="77777777" w:rsidR="000E1F67" w:rsidRPr="002C4910" w:rsidRDefault="000E1F67">
      <w:pPr>
        <w:spacing w:after="120"/>
        <w:jc w:val="both"/>
        <w:rPr>
          <w:rFonts w:eastAsia="Times New Roman" w:cs="Arial"/>
          <w:szCs w:val="20"/>
          <w:lang w:eastAsia="fr-FR"/>
        </w:rPr>
      </w:pPr>
      <w:r w:rsidRPr="002C4910">
        <w:rPr>
          <w:rFonts w:eastAsia="Times New Roman" w:cs="Arial"/>
          <w:szCs w:val="20"/>
          <w:u w:val="single"/>
          <w:lang w:eastAsia="fr-FR"/>
        </w:rPr>
        <w:t>L’UE intervient également en Tunisie sous la forme de prêt avec un programme d’Assistance Macro-Financière (AMF) pour un montant total de 800 M€</w:t>
      </w:r>
      <w:r w:rsidRPr="002C4910">
        <w:rPr>
          <w:rFonts w:eastAsia="Times New Roman" w:cs="Arial"/>
          <w:szCs w:val="20"/>
          <w:lang w:eastAsia="fr-FR"/>
        </w:rPr>
        <w:t>. Une première AMF a été adoptée par le Parlement Européen en 2014 pour un montant de 300 M€. Alors que cette première AMF n’a été entièrement décaissée qu’à l’été 2017, un nouveau prêt d’un montant de 500 M€ a été signé en avril 2017, à la demande de la Tunisie. Le versement d’une première tranche de 200 M€ a été effectué début octobre, les deuxième et troisième versements devant intervenir en 2018.</w:t>
      </w:r>
    </w:p>
    <w:p w14:paraId="3327C3C0" w14:textId="088AB84E" w:rsidR="00AA3216" w:rsidRPr="002C4910" w:rsidRDefault="000E1F67">
      <w:pPr>
        <w:spacing w:after="120"/>
        <w:jc w:val="both"/>
        <w:rPr>
          <w:rFonts w:eastAsia="Times New Roman" w:cs="Arial"/>
          <w:szCs w:val="20"/>
          <w:lang w:eastAsia="fr-FR"/>
        </w:rPr>
      </w:pPr>
      <w:r w:rsidRPr="002C4910">
        <w:rPr>
          <w:rFonts w:eastAsia="Times New Roman" w:cs="Arial"/>
          <w:szCs w:val="20"/>
          <w:u w:val="single"/>
          <w:lang w:eastAsia="fr-FR"/>
        </w:rPr>
        <w:t xml:space="preserve">D’un point de vue commercial, l’UE a également offert un accès </w:t>
      </w:r>
      <w:r w:rsidR="005A03B2" w:rsidRPr="002C4910">
        <w:rPr>
          <w:rFonts w:eastAsia="Times New Roman" w:cs="Arial"/>
          <w:szCs w:val="20"/>
          <w:u w:val="single"/>
          <w:lang w:eastAsia="fr-FR"/>
        </w:rPr>
        <w:t>exceptionnel</w:t>
      </w:r>
      <w:r w:rsidRPr="002C4910">
        <w:rPr>
          <w:rFonts w:eastAsia="Times New Roman" w:cs="Arial"/>
          <w:szCs w:val="20"/>
          <w:u w:val="single"/>
          <w:lang w:eastAsia="fr-FR"/>
        </w:rPr>
        <w:t xml:space="preserve"> à l’huile d’olive tunisienne sur le marché européen (35 000 tonnes annuel jusqu’à fin 2017 s’ajoutant au 56 700 tonnes déjà prévu par l’accord d’association)</w:t>
      </w:r>
      <w:r w:rsidRPr="002C4910">
        <w:rPr>
          <w:rFonts w:eastAsia="Times New Roman" w:cs="Arial"/>
          <w:szCs w:val="20"/>
          <w:lang w:eastAsia="fr-FR"/>
        </w:rPr>
        <w:t>.</w:t>
      </w:r>
    </w:p>
    <w:p w14:paraId="70A16A39" w14:textId="4CCD2B1A" w:rsidR="007F12B8" w:rsidRPr="002C4910" w:rsidRDefault="007F12B8" w:rsidP="00277B3A">
      <w:pPr>
        <w:spacing w:before="120" w:after="120"/>
        <w:jc w:val="both"/>
        <w:rPr>
          <w:rFonts w:eastAsiaTheme="majorEastAsia" w:cs="Arial"/>
          <w:b/>
          <w:bCs/>
          <w:i/>
          <w:iCs/>
          <w:color w:val="122255"/>
          <w:szCs w:val="28"/>
        </w:rPr>
      </w:pPr>
      <w:r w:rsidRPr="002C4910">
        <w:rPr>
          <w:rFonts w:eastAsiaTheme="majorEastAsia" w:cs="Arial"/>
          <w:b/>
          <w:bCs/>
          <w:i/>
          <w:iCs/>
          <w:color w:val="122255"/>
          <w:szCs w:val="28"/>
        </w:rPr>
        <w:t>Banque Européenne d’Investissement (BEI) :</w:t>
      </w:r>
    </w:p>
    <w:p w14:paraId="1CA7A160" w14:textId="77777777" w:rsidR="000E1F67" w:rsidRPr="002C4910" w:rsidRDefault="000E1F67" w:rsidP="00277B3A">
      <w:pPr>
        <w:spacing w:after="120"/>
        <w:jc w:val="both"/>
        <w:rPr>
          <w:rFonts w:eastAsia="Times New Roman" w:cs="Arial"/>
          <w:lang w:eastAsia="fr-FR"/>
        </w:rPr>
      </w:pPr>
      <w:r w:rsidRPr="002C4910">
        <w:rPr>
          <w:rFonts w:eastAsia="Times New Roman" w:cs="Arial"/>
          <w:u w:val="single"/>
          <w:lang w:eastAsia="fr-FR"/>
        </w:rPr>
        <w:t>Avec un encours global supérieur à 4 Mds€, la BEI est très présente en Tunisie</w:t>
      </w:r>
      <w:r w:rsidRPr="002C4910">
        <w:rPr>
          <w:rFonts w:eastAsia="Times New Roman" w:cs="Arial"/>
          <w:lang w:eastAsia="fr-FR"/>
        </w:rPr>
        <w:t xml:space="preserve">, axée sur le financement de projets dans les secteurs clefs de l’économie tunisienne tels que les </w:t>
      </w:r>
      <w:r w:rsidRPr="002C4910">
        <w:rPr>
          <w:rFonts w:eastAsia="Times New Roman" w:cs="Arial"/>
          <w:u w:val="single"/>
          <w:lang w:eastAsia="fr-FR"/>
        </w:rPr>
        <w:t>infrastructures (énergie et transport)</w:t>
      </w:r>
      <w:r w:rsidRPr="002C4910">
        <w:rPr>
          <w:rFonts w:eastAsia="Times New Roman" w:cs="Arial"/>
          <w:lang w:eastAsia="fr-FR"/>
        </w:rPr>
        <w:t xml:space="preserve">, les </w:t>
      </w:r>
      <w:r w:rsidRPr="002C4910">
        <w:rPr>
          <w:rFonts w:eastAsia="Times New Roman" w:cs="Arial"/>
          <w:u w:val="single"/>
          <w:lang w:eastAsia="fr-FR"/>
        </w:rPr>
        <w:t>PME (lignes de crédit et microfinance)</w:t>
      </w:r>
      <w:r w:rsidRPr="002C4910">
        <w:rPr>
          <w:rFonts w:eastAsia="Times New Roman" w:cs="Arial"/>
          <w:lang w:eastAsia="fr-FR"/>
        </w:rPr>
        <w:t xml:space="preserve"> et la </w:t>
      </w:r>
      <w:r w:rsidRPr="002C4910">
        <w:rPr>
          <w:rFonts w:eastAsia="Times New Roman" w:cs="Arial"/>
          <w:u w:val="single"/>
          <w:lang w:eastAsia="fr-FR"/>
        </w:rPr>
        <w:t>rénovation urbaine</w:t>
      </w:r>
      <w:r w:rsidRPr="002C4910">
        <w:rPr>
          <w:rFonts w:eastAsia="Times New Roman" w:cs="Arial"/>
          <w:lang w:eastAsia="fr-FR"/>
        </w:rPr>
        <w:t xml:space="preserve">. La BEI intervient presque exclusivement sous la forme de prêts concessionnels, avec des enveloppes en don modestes consacrées à de l’assistance technique ou du renforcement de capacités. </w:t>
      </w:r>
      <w:r w:rsidRPr="002C4910">
        <w:rPr>
          <w:rFonts w:eastAsia="Times New Roman" w:cs="Arial"/>
          <w:u w:val="single"/>
          <w:lang w:eastAsia="fr-FR"/>
        </w:rPr>
        <w:t xml:space="preserve">Entre 2011 et 2016, la BEI a engagé pour 1,75 Md€ de financements nouveaux – dont 410 M€ d’engagements pour la seule année 2016. </w:t>
      </w:r>
    </w:p>
    <w:p w14:paraId="6826371C" w14:textId="748161DB" w:rsidR="005C7BB5" w:rsidRPr="002C4910" w:rsidRDefault="000E1F67" w:rsidP="00277B3A">
      <w:pPr>
        <w:spacing w:after="60"/>
        <w:jc w:val="both"/>
        <w:rPr>
          <w:rFonts w:eastAsia="Times New Roman" w:cs="Arial"/>
          <w:lang w:eastAsia="fr-FR"/>
        </w:rPr>
      </w:pPr>
      <w:r w:rsidRPr="002C4910">
        <w:rPr>
          <w:rFonts w:eastAsia="Times New Roman" w:cs="Arial"/>
          <w:u w:val="single"/>
          <w:lang w:eastAsia="fr-FR"/>
        </w:rPr>
        <w:t xml:space="preserve">Au cours de la conférence </w:t>
      </w:r>
      <w:r w:rsidRPr="002C4910">
        <w:rPr>
          <w:rFonts w:eastAsia="Times New Roman" w:cs="Arial"/>
          <w:i/>
          <w:u w:val="single"/>
          <w:lang w:eastAsia="fr-FR"/>
        </w:rPr>
        <w:t>Tunisie 2020</w:t>
      </w:r>
      <w:r w:rsidRPr="002C4910">
        <w:rPr>
          <w:rFonts w:eastAsia="Times New Roman" w:cs="Arial"/>
          <w:u w:val="single"/>
          <w:lang w:eastAsia="fr-FR"/>
        </w:rPr>
        <w:t xml:space="preserve"> (novembre 2016), le Président de la BEI a annoncé un soutien pouvant aller jusqu’à 2,5 Mds€ d’ici à 2020</w:t>
      </w:r>
      <w:r w:rsidRPr="002C4910">
        <w:rPr>
          <w:rFonts w:eastAsia="Times New Roman" w:cs="Arial"/>
          <w:lang w:eastAsia="fr-FR"/>
        </w:rPr>
        <w:t xml:space="preserve">. En 2017, conformément à cette ambition, la BEI a donc multiplié les engagements : financement de 165 M€ pour soutenir le projet de l’Autoroute du Centre (gouvernorats défavorisés de Kairouan et de Sidi Bouzid), ligne de crédit de 120 M€ à la Banque de l’Habitat pour faciliter l’accès au crédit des PME, financement de deux lignes ferroviaires dans le gouvernorat de Tunis pour 83 M€, prêt de 20 M€ au groupe d’électronique tunisien </w:t>
      </w:r>
      <w:r w:rsidRPr="002C4910">
        <w:rPr>
          <w:rFonts w:eastAsia="Times New Roman" w:cs="Arial"/>
          <w:i/>
          <w:lang w:eastAsia="fr-FR"/>
        </w:rPr>
        <w:t>One Tech</w:t>
      </w:r>
      <w:r w:rsidRPr="002C4910">
        <w:rPr>
          <w:rFonts w:eastAsia="Times New Roman" w:cs="Arial"/>
          <w:lang w:eastAsia="fr-FR"/>
        </w:rPr>
        <w:t xml:space="preserve"> pour accélérer le développement de ses produits innovants, etc.</w:t>
      </w:r>
    </w:p>
    <w:p w14:paraId="16FE5F43" w14:textId="77777777" w:rsidR="00277B3A" w:rsidRPr="00277B3A" w:rsidRDefault="00277B3A" w:rsidP="00277B3A">
      <w:pPr>
        <w:autoSpaceDE w:val="0"/>
        <w:autoSpaceDN w:val="0"/>
        <w:adjustRightInd w:val="0"/>
        <w:spacing w:before="120" w:after="0"/>
        <w:jc w:val="both"/>
        <w:rPr>
          <w:rFonts w:eastAsiaTheme="majorEastAsia" w:cs="Arial"/>
          <w:b/>
          <w:bCs/>
          <w:color w:val="122255"/>
          <w:sz w:val="24"/>
          <w:szCs w:val="32"/>
        </w:rPr>
      </w:pPr>
    </w:p>
    <w:p w14:paraId="45E75653" w14:textId="72B6B2C1" w:rsidR="007F12B8" w:rsidRPr="002C4910" w:rsidRDefault="00CC4E9F">
      <w:pPr>
        <w:pStyle w:val="Paragraphedeliste"/>
        <w:numPr>
          <w:ilvl w:val="0"/>
          <w:numId w:val="19"/>
        </w:numPr>
        <w:autoSpaceDE w:val="0"/>
        <w:autoSpaceDN w:val="0"/>
        <w:adjustRightInd w:val="0"/>
        <w:spacing w:before="120" w:after="0"/>
        <w:contextualSpacing w:val="0"/>
        <w:jc w:val="both"/>
        <w:rPr>
          <w:rFonts w:eastAsiaTheme="majorEastAsia" w:cs="Arial"/>
          <w:b/>
          <w:bCs/>
          <w:color w:val="122255"/>
          <w:sz w:val="24"/>
          <w:szCs w:val="32"/>
        </w:rPr>
      </w:pPr>
      <w:r w:rsidRPr="002C4910">
        <w:rPr>
          <w:rFonts w:eastAsiaTheme="majorEastAsia" w:cs="Arial"/>
          <w:b/>
          <w:bCs/>
          <w:color w:val="122255"/>
          <w:sz w:val="24"/>
          <w:szCs w:val="32"/>
        </w:rPr>
        <w:lastRenderedPageBreak/>
        <w:t>Le</w:t>
      </w:r>
      <w:r w:rsidR="007F12B8" w:rsidRPr="002C4910">
        <w:rPr>
          <w:rFonts w:eastAsiaTheme="majorEastAsia" w:cs="Arial"/>
          <w:b/>
          <w:bCs/>
          <w:color w:val="122255"/>
          <w:sz w:val="24"/>
          <w:szCs w:val="32"/>
        </w:rPr>
        <w:t>s instances internationales</w:t>
      </w:r>
    </w:p>
    <w:p w14:paraId="2FC45A1E" w14:textId="77777777" w:rsidR="008D58D1" w:rsidRPr="002C4910" w:rsidRDefault="008D58D1">
      <w:pPr>
        <w:spacing w:after="0"/>
        <w:jc w:val="both"/>
        <w:rPr>
          <w:rFonts w:eastAsiaTheme="majorEastAsia" w:cs="Arial"/>
          <w:b/>
          <w:bCs/>
          <w:i/>
          <w:iCs/>
          <w:color w:val="122255"/>
          <w:szCs w:val="28"/>
        </w:rPr>
      </w:pPr>
    </w:p>
    <w:p w14:paraId="14BF8FB8" w14:textId="7221A036" w:rsidR="000E103B" w:rsidRPr="002C4910" w:rsidRDefault="000E103B">
      <w:pPr>
        <w:spacing w:after="120"/>
        <w:jc w:val="both"/>
        <w:rPr>
          <w:rFonts w:eastAsiaTheme="majorEastAsia" w:cs="Arial"/>
          <w:b/>
          <w:bCs/>
          <w:i/>
          <w:iCs/>
          <w:color w:val="122255"/>
          <w:szCs w:val="20"/>
        </w:rPr>
      </w:pPr>
      <w:r w:rsidRPr="002C4910">
        <w:rPr>
          <w:rFonts w:eastAsiaTheme="majorEastAsia" w:cs="Arial"/>
          <w:b/>
          <w:bCs/>
          <w:i/>
          <w:iCs/>
          <w:color w:val="122255"/>
          <w:szCs w:val="20"/>
        </w:rPr>
        <w:t>Fonds Monétaire International (FMI) :</w:t>
      </w:r>
    </w:p>
    <w:p w14:paraId="626D9DAA" w14:textId="430E24B9" w:rsidR="000E1F67" w:rsidRPr="002C4910" w:rsidRDefault="000E1F67" w:rsidP="00277B3A">
      <w:pPr>
        <w:spacing w:after="120"/>
        <w:jc w:val="both"/>
        <w:rPr>
          <w:rFonts w:eastAsia="Times New Roman" w:cs="Arial"/>
          <w:szCs w:val="20"/>
          <w:lang w:eastAsia="fr-FR"/>
        </w:rPr>
      </w:pPr>
      <w:r w:rsidRPr="002C4910">
        <w:rPr>
          <w:rFonts w:eastAsia="Times New Roman" w:cs="Arial"/>
          <w:szCs w:val="20"/>
          <w:u w:val="single"/>
          <w:lang w:eastAsia="fr-FR"/>
        </w:rPr>
        <w:t xml:space="preserve">Depuis la révolution, le FMI a engagé un premier programme d’aide pluriannuel (dit « Accord de confirmation »), sur la période 2013-2015, pour un montant total de 1,75 Mds$. </w:t>
      </w:r>
      <w:r w:rsidR="005A03B2" w:rsidRPr="002C4910">
        <w:rPr>
          <w:rFonts w:eastAsia="Times New Roman" w:cs="Arial"/>
          <w:szCs w:val="20"/>
          <w:lang w:eastAsia="fr-FR"/>
        </w:rPr>
        <w:t xml:space="preserve">Un </w:t>
      </w:r>
      <w:r w:rsidR="004A7FDD">
        <w:rPr>
          <w:rFonts w:eastAsia="Times New Roman" w:cs="Arial"/>
          <w:szCs w:val="20"/>
          <w:lang w:eastAsia="fr-FR"/>
        </w:rPr>
        <w:t>second</w:t>
      </w:r>
      <w:r w:rsidRPr="002C4910">
        <w:rPr>
          <w:rFonts w:eastAsia="Times New Roman" w:cs="Arial"/>
          <w:szCs w:val="20"/>
          <w:u w:val="single"/>
          <w:lang w:eastAsia="fr-FR"/>
        </w:rPr>
        <w:t xml:space="preserve"> programme de « Mécanisme Elargi de Crédit » </w:t>
      </w:r>
      <w:r w:rsidR="004A7FDD" w:rsidRPr="00DA516F">
        <w:rPr>
          <w:rFonts w:eastAsia="Times New Roman" w:cs="Arial"/>
          <w:szCs w:val="20"/>
          <w:u w:val="single"/>
          <w:lang w:eastAsia="fr-FR"/>
        </w:rPr>
        <w:t>a été conclu en mai 2016</w:t>
      </w:r>
      <w:r w:rsidR="004A7FDD">
        <w:rPr>
          <w:rFonts w:eastAsia="Times New Roman" w:cs="Arial"/>
          <w:szCs w:val="20"/>
          <w:u w:val="single"/>
          <w:lang w:eastAsia="fr-FR"/>
        </w:rPr>
        <w:t xml:space="preserve"> </w:t>
      </w:r>
      <w:r w:rsidRPr="002C4910">
        <w:rPr>
          <w:rFonts w:eastAsia="Times New Roman" w:cs="Arial"/>
          <w:szCs w:val="20"/>
          <w:u w:val="single"/>
          <w:lang w:eastAsia="fr-FR"/>
        </w:rPr>
        <w:t>pour un montant de 2,9 Mds$ sur quatre ans</w:t>
      </w:r>
      <w:r w:rsidR="005A03B2" w:rsidRPr="002C4910">
        <w:rPr>
          <w:rFonts w:eastAsia="Times New Roman" w:cs="Arial"/>
          <w:szCs w:val="20"/>
          <w:lang w:eastAsia="fr-FR"/>
        </w:rPr>
        <w:t xml:space="preserve">. </w:t>
      </w:r>
      <w:r w:rsidR="004A7FDD">
        <w:rPr>
          <w:rFonts w:eastAsia="Times New Roman" w:cs="Arial"/>
          <w:szCs w:val="20"/>
          <w:lang w:eastAsia="fr-FR"/>
        </w:rPr>
        <w:t>Ce programme</w:t>
      </w:r>
      <w:r w:rsidR="005A03B2" w:rsidRPr="002C4910">
        <w:rPr>
          <w:rFonts w:eastAsia="Times New Roman" w:cs="Arial"/>
          <w:szCs w:val="20"/>
          <w:lang w:eastAsia="fr-FR"/>
        </w:rPr>
        <w:t xml:space="preserve"> est </w:t>
      </w:r>
      <w:r w:rsidRPr="002C4910">
        <w:rPr>
          <w:rFonts w:eastAsia="Times New Roman" w:cs="Arial"/>
          <w:szCs w:val="20"/>
          <w:lang w:eastAsia="fr-FR"/>
        </w:rPr>
        <w:t>structuré autour de quatre axes : stabilisation macroéconomique, réforme des institutions publiques, réforme du secteur financier, amélioration de l’environnement des affaires.</w:t>
      </w:r>
    </w:p>
    <w:p w14:paraId="7028F41C" w14:textId="7B0F102E" w:rsidR="000E1F67" w:rsidRPr="002C4910" w:rsidRDefault="005A03B2" w:rsidP="00277B3A">
      <w:pPr>
        <w:spacing w:after="120"/>
        <w:jc w:val="both"/>
        <w:rPr>
          <w:rFonts w:eastAsia="Times New Roman" w:cs="Arial"/>
          <w:szCs w:val="20"/>
          <w:lang w:eastAsia="fr-FR"/>
        </w:rPr>
      </w:pPr>
      <w:r w:rsidRPr="002C4910">
        <w:rPr>
          <w:rFonts w:eastAsia="Times New Roman" w:cs="Arial"/>
          <w:szCs w:val="20"/>
          <w:u w:val="single"/>
          <w:lang w:eastAsia="fr-FR"/>
        </w:rPr>
        <w:t>L</w:t>
      </w:r>
      <w:r w:rsidR="002536E3" w:rsidRPr="002C4910">
        <w:rPr>
          <w:rFonts w:eastAsia="Times New Roman" w:cs="Arial"/>
          <w:szCs w:val="20"/>
          <w:u w:val="single"/>
          <w:lang w:eastAsia="fr-FR"/>
        </w:rPr>
        <w:t>a validation de la première revue du programme, qui conditionnait le</w:t>
      </w:r>
      <w:r w:rsidR="000E1F67" w:rsidRPr="00277B3A">
        <w:rPr>
          <w:rFonts w:eastAsia="Times New Roman" w:cs="Arial"/>
          <w:szCs w:val="20"/>
          <w:u w:val="single"/>
          <w:lang w:eastAsia="fr-FR"/>
        </w:rPr>
        <w:t xml:space="preserve"> versement</w:t>
      </w:r>
      <w:r w:rsidRPr="00277B3A">
        <w:rPr>
          <w:rFonts w:eastAsia="Times New Roman" w:cs="Arial"/>
          <w:szCs w:val="20"/>
          <w:u w:val="single"/>
          <w:lang w:eastAsia="fr-FR"/>
        </w:rPr>
        <w:t xml:space="preserve"> </w:t>
      </w:r>
      <w:r w:rsidR="004A7FDD">
        <w:rPr>
          <w:rFonts w:eastAsia="Times New Roman" w:cs="Arial"/>
          <w:szCs w:val="20"/>
          <w:u w:val="single"/>
          <w:lang w:eastAsia="fr-FR"/>
        </w:rPr>
        <w:t xml:space="preserve">de la seconde tranche </w:t>
      </w:r>
      <w:r w:rsidRPr="00277B3A">
        <w:rPr>
          <w:rFonts w:eastAsia="Times New Roman" w:cs="Arial"/>
          <w:szCs w:val="20"/>
          <w:u w:val="single"/>
          <w:lang w:eastAsia="fr-FR"/>
        </w:rPr>
        <w:t xml:space="preserve">(après un premier versement </w:t>
      </w:r>
      <w:r w:rsidR="004A7FDD">
        <w:rPr>
          <w:rFonts w:eastAsia="Times New Roman" w:cs="Arial"/>
          <w:szCs w:val="20"/>
          <w:u w:val="single"/>
          <w:lang w:eastAsia="fr-FR"/>
        </w:rPr>
        <w:t xml:space="preserve">déclenché par l’adoption </w:t>
      </w:r>
      <w:r w:rsidRPr="00277B3A">
        <w:rPr>
          <w:rFonts w:eastAsia="Times New Roman" w:cs="Arial"/>
          <w:szCs w:val="20"/>
          <w:u w:val="single"/>
          <w:lang w:eastAsia="fr-FR"/>
        </w:rPr>
        <w:t>du programme)</w:t>
      </w:r>
      <w:r w:rsidR="000E1F67" w:rsidRPr="00277B3A">
        <w:rPr>
          <w:rFonts w:eastAsia="Times New Roman" w:cs="Arial"/>
          <w:szCs w:val="20"/>
          <w:u w:val="single"/>
          <w:lang w:eastAsia="fr-FR"/>
        </w:rPr>
        <w:t>, pour un montant de 315 M$ intervenu au mois de mai 2017</w:t>
      </w:r>
      <w:r w:rsidR="000E1F67" w:rsidRPr="002C4910">
        <w:rPr>
          <w:rFonts w:eastAsia="Times New Roman" w:cs="Arial"/>
          <w:szCs w:val="20"/>
          <w:lang w:eastAsia="fr-FR"/>
        </w:rPr>
        <w:t xml:space="preserve">. Suite à une nouvelle mission des services du FMI en décembre 2017, la conclusion de la seconde revue </w:t>
      </w:r>
      <w:r w:rsidR="00105FBB" w:rsidRPr="002C4910">
        <w:rPr>
          <w:rFonts w:eastAsia="Times New Roman" w:cs="Arial"/>
          <w:szCs w:val="20"/>
          <w:lang w:eastAsia="fr-FR"/>
        </w:rPr>
        <w:t xml:space="preserve">(préalable au troisième versement) </w:t>
      </w:r>
      <w:r w:rsidR="000E1F67" w:rsidRPr="002C4910">
        <w:rPr>
          <w:rFonts w:eastAsia="Times New Roman" w:cs="Arial"/>
          <w:szCs w:val="20"/>
          <w:lang w:eastAsia="fr-FR"/>
        </w:rPr>
        <w:t>a été conditionnée à la mise en œuvre d’un certain nombre « d’actions préalables » à très court term</w:t>
      </w:r>
      <w:r w:rsidRPr="002C4910">
        <w:rPr>
          <w:rFonts w:eastAsia="Times New Roman" w:cs="Arial"/>
          <w:szCs w:val="20"/>
          <w:lang w:eastAsia="fr-FR"/>
        </w:rPr>
        <w:t>e</w:t>
      </w:r>
      <w:r w:rsidR="00277B3A">
        <w:rPr>
          <w:rFonts w:eastAsia="Times New Roman" w:cs="Arial"/>
          <w:szCs w:val="20"/>
          <w:lang w:eastAsia="fr-FR"/>
        </w:rPr>
        <w:t>.</w:t>
      </w:r>
    </w:p>
    <w:p w14:paraId="1D9C332D" w14:textId="0BECA448" w:rsidR="007F12B8" w:rsidRPr="002C4910" w:rsidRDefault="007F12B8" w:rsidP="00277B3A">
      <w:pPr>
        <w:spacing w:before="120" w:after="120"/>
        <w:jc w:val="both"/>
        <w:rPr>
          <w:rFonts w:eastAsiaTheme="majorEastAsia" w:cs="Arial"/>
          <w:b/>
          <w:bCs/>
          <w:i/>
          <w:iCs/>
          <w:color w:val="122255"/>
          <w:szCs w:val="20"/>
        </w:rPr>
      </w:pPr>
      <w:r w:rsidRPr="002C4910">
        <w:rPr>
          <w:rFonts w:eastAsiaTheme="majorEastAsia" w:cs="Arial"/>
          <w:b/>
          <w:bCs/>
          <w:i/>
          <w:iCs/>
          <w:color w:val="122255"/>
          <w:szCs w:val="20"/>
        </w:rPr>
        <w:t>Banque Mondiale (BM) :</w:t>
      </w:r>
    </w:p>
    <w:p w14:paraId="16E5BC7C" w14:textId="77777777" w:rsidR="000E1F67" w:rsidRPr="00277B3A" w:rsidRDefault="000E1F67" w:rsidP="00277B3A">
      <w:pPr>
        <w:spacing w:after="120"/>
        <w:jc w:val="both"/>
        <w:rPr>
          <w:rFonts w:eastAsia="Times New Roman" w:cs="Arial"/>
          <w:szCs w:val="20"/>
          <w:lang w:eastAsia="fr-FR"/>
        </w:rPr>
      </w:pPr>
      <w:r w:rsidRPr="00277B3A">
        <w:rPr>
          <w:rFonts w:eastAsia="Times New Roman" w:cs="Arial"/>
          <w:szCs w:val="20"/>
          <w:u w:val="single"/>
          <w:lang w:eastAsia="fr-FR"/>
        </w:rPr>
        <w:t>Entre 2011 et 2016, la Banque Mondiale a engagé près de 5 Mds$ de financements en faveur de la Tunisie, principalement sous la forme de prêts</w:t>
      </w:r>
      <w:r w:rsidRPr="00277B3A">
        <w:rPr>
          <w:rFonts w:eastAsia="Times New Roman" w:cs="Arial"/>
          <w:szCs w:val="20"/>
          <w:lang w:eastAsia="fr-FR"/>
        </w:rPr>
        <w:t>. Elle a notamment engagé 770 M$ de nouveaux projets en 2016, contre 330 M$ en 2015.</w:t>
      </w:r>
    </w:p>
    <w:p w14:paraId="067CA60F" w14:textId="77777777" w:rsidR="000E1F67" w:rsidRPr="00277B3A" w:rsidRDefault="000E1F67" w:rsidP="00277B3A">
      <w:pPr>
        <w:spacing w:after="120"/>
        <w:jc w:val="both"/>
        <w:rPr>
          <w:rFonts w:eastAsia="Times New Roman" w:cs="Arial"/>
          <w:szCs w:val="20"/>
          <w:lang w:eastAsia="fr-FR"/>
        </w:rPr>
      </w:pPr>
      <w:r w:rsidRPr="00277B3A">
        <w:rPr>
          <w:rFonts w:eastAsia="Times New Roman" w:cs="Arial"/>
          <w:szCs w:val="20"/>
          <w:u w:val="single"/>
          <w:lang w:eastAsia="fr-FR"/>
        </w:rPr>
        <w:t>Un nouveau cadre de partenariat a été approuvé en mai 2016, pour cinq ans. Ce cadre prévoit des engagements en prêt pouvant aller jusqu’à l’objectif très ambitieux de 5 Mds$ sur la période</w:t>
      </w:r>
      <w:r w:rsidRPr="00277B3A">
        <w:rPr>
          <w:rFonts w:eastAsia="Times New Roman" w:cs="Arial"/>
          <w:szCs w:val="20"/>
          <w:lang w:eastAsia="fr-FR"/>
        </w:rPr>
        <w:t xml:space="preserve"> – la moitié sous la forme d’aide budgétaire et l’autre sous la forme d’aide projet. Il s’articule autour de trois axes : rétablissement d’un environnement favorable à la croissance économique et au développement du secteur privé, réduction des inégalités régionales et promotion de l’inclusion sociale. </w:t>
      </w:r>
      <w:r w:rsidRPr="00277B3A">
        <w:rPr>
          <w:rFonts w:eastAsia="Times New Roman" w:cs="Arial"/>
          <w:szCs w:val="20"/>
          <w:u w:val="single"/>
          <w:lang w:eastAsia="fr-FR"/>
        </w:rPr>
        <w:t>Dans ce nouveau cadre, en 2017 le BM a accordé : (i) un nouvel appui budgétaire destiné à soutenir la transformation du climat des affaires pour un montant de 500 M$ décaissé au mois de juillet ; (ii) plusieurs financements de projet pour un montant de 120 M$</w:t>
      </w:r>
      <w:r w:rsidRPr="00277B3A">
        <w:rPr>
          <w:rFonts w:eastAsia="Times New Roman" w:cs="Arial"/>
          <w:szCs w:val="20"/>
          <w:lang w:eastAsia="fr-FR"/>
        </w:rPr>
        <w:t> : lutte contre le chômage des jeunes et pour la création d’emplois (60 M$), préservation de l’environnement (100 M$), etc.</w:t>
      </w:r>
    </w:p>
    <w:p w14:paraId="76FB4C16" w14:textId="77777777" w:rsidR="000E1F67" w:rsidRPr="00277B3A" w:rsidRDefault="000E1F67" w:rsidP="00277B3A">
      <w:pPr>
        <w:spacing w:after="120"/>
        <w:jc w:val="both"/>
        <w:rPr>
          <w:rFonts w:eastAsia="Times New Roman" w:cs="Arial"/>
          <w:szCs w:val="20"/>
          <w:lang w:eastAsia="fr-FR"/>
        </w:rPr>
      </w:pPr>
      <w:r w:rsidRPr="00277B3A">
        <w:rPr>
          <w:rFonts w:eastAsia="Times New Roman" w:cs="Arial"/>
          <w:szCs w:val="20"/>
          <w:u w:val="single"/>
          <w:lang w:eastAsia="fr-FR"/>
        </w:rPr>
        <w:t>La Société Financière Internationale (SFI), filiale de la BM dédiée au financement du secteur privé, a indiqué qu’elle souhaitait investir jusqu’à 300 M$ par an en Tunisie</w:t>
      </w:r>
      <w:r w:rsidRPr="00277B3A">
        <w:rPr>
          <w:rFonts w:eastAsia="Times New Roman" w:cs="Arial"/>
          <w:szCs w:val="20"/>
          <w:lang w:eastAsia="fr-FR"/>
        </w:rPr>
        <w:t xml:space="preserve">. En 2017, elle a accordé les financements suivants : centre financier aux entrepreneurs (780 k€), institution de microfinance </w:t>
      </w:r>
      <w:proofErr w:type="spellStart"/>
      <w:r w:rsidRPr="00277B3A">
        <w:rPr>
          <w:rFonts w:eastAsia="Times New Roman" w:cs="Arial"/>
          <w:szCs w:val="20"/>
          <w:lang w:eastAsia="fr-FR"/>
        </w:rPr>
        <w:t>Enda</w:t>
      </w:r>
      <w:proofErr w:type="spellEnd"/>
      <w:r w:rsidRPr="00277B3A">
        <w:rPr>
          <w:rFonts w:eastAsia="Times New Roman" w:cs="Arial"/>
          <w:szCs w:val="20"/>
          <w:lang w:eastAsia="fr-FR"/>
        </w:rPr>
        <w:t xml:space="preserve"> </w:t>
      </w:r>
      <w:proofErr w:type="spellStart"/>
      <w:r w:rsidRPr="00277B3A">
        <w:rPr>
          <w:rFonts w:eastAsia="Times New Roman" w:cs="Arial"/>
          <w:szCs w:val="20"/>
          <w:lang w:eastAsia="fr-FR"/>
        </w:rPr>
        <w:t>Tamweel</w:t>
      </w:r>
      <w:proofErr w:type="spellEnd"/>
      <w:r w:rsidRPr="00277B3A">
        <w:rPr>
          <w:rFonts w:eastAsia="Times New Roman" w:cs="Arial"/>
          <w:szCs w:val="20"/>
          <w:lang w:eastAsia="fr-FR"/>
        </w:rPr>
        <w:t xml:space="preserve"> (150 k€), b</w:t>
      </w:r>
      <w:bookmarkStart w:id="1" w:name="_GoBack"/>
      <w:bookmarkEnd w:id="1"/>
      <w:r w:rsidRPr="00277B3A">
        <w:rPr>
          <w:rFonts w:eastAsia="Times New Roman" w:cs="Arial"/>
          <w:szCs w:val="20"/>
          <w:lang w:eastAsia="fr-FR"/>
        </w:rPr>
        <w:t xml:space="preserve">anque commerciale Amen (100 k€) et au niveau régional, capitalisation du fonds </w:t>
      </w:r>
      <w:r w:rsidRPr="00277B3A">
        <w:rPr>
          <w:rFonts w:eastAsia="Times New Roman" w:cs="Arial"/>
          <w:i/>
          <w:szCs w:val="20"/>
          <w:lang w:eastAsia="fr-FR"/>
        </w:rPr>
        <w:t xml:space="preserve">Maghreb </w:t>
      </w:r>
      <w:proofErr w:type="spellStart"/>
      <w:r w:rsidRPr="00277B3A">
        <w:rPr>
          <w:rFonts w:eastAsia="Times New Roman" w:cs="Arial"/>
          <w:i/>
          <w:szCs w:val="20"/>
          <w:lang w:eastAsia="fr-FR"/>
        </w:rPr>
        <w:t>Private</w:t>
      </w:r>
      <w:proofErr w:type="spellEnd"/>
      <w:r w:rsidRPr="00277B3A">
        <w:rPr>
          <w:rFonts w:eastAsia="Times New Roman" w:cs="Arial"/>
          <w:i/>
          <w:szCs w:val="20"/>
          <w:lang w:eastAsia="fr-FR"/>
        </w:rPr>
        <w:t xml:space="preserve"> </w:t>
      </w:r>
      <w:proofErr w:type="spellStart"/>
      <w:r w:rsidRPr="00277B3A">
        <w:rPr>
          <w:rFonts w:eastAsia="Times New Roman" w:cs="Arial"/>
          <w:i/>
          <w:szCs w:val="20"/>
          <w:lang w:eastAsia="fr-FR"/>
        </w:rPr>
        <w:t>Equity</w:t>
      </w:r>
      <w:proofErr w:type="spellEnd"/>
      <w:r w:rsidRPr="00277B3A">
        <w:rPr>
          <w:rFonts w:eastAsia="Times New Roman" w:cs="Arial"/>
          <w:i/>
          <w:szCs w:val="20"/>
          <w:lang w:eastAsia="fr-FR"/>
        </w:rPr>
        <w:t xml:space="preserve"> </w:t>
      </w:r>
      <w:proofErr w:type="spellStart"/>
      <w:r w:rsidRPr="00277B3A">
        <w:rPr>
          <w:rFonts w:eastAsia="Times New Roman" w:cs="Arial"/>
          <w:i/>
          <w:szCs w:val="20"/>
          <w:lang w:eastAsia="fr-FR"/>
        </w:rPr>
        <w:t>Fund</w:t>
      </w:r>
      <w:proofErr w:type="spellEnd"/>
      <w:r w:rsidRPr="00277B3A">
        <w:rPr>
          <w:rFonts w:eastAsia="Times New Roman" w:cs="Arial"/>
          <w:i/>
          <w:szCs w:val="20"/>
          <w:lang w:eastAsia="fr-FR"/>
        </w:rPr>
        <w:t xml:space="preserve"> IV LLC</w:t>
      </w:r>
      <w:r w:rsidRPr="00277B3A">
        <w:rPr>
          <w:rFonts w:eastAsia="Times New Roman" w:cs="Arial"/>
          <w:szCs w:val="20"/>
          <w:lang w:eastAsia="fr-FR"/>
        </w:rPr>
        <w:t xml:space="preserve"> pour 15 M€.</w:t>
      </w:r>
    </w:p>
    <w:p w14:paraId="2EDD09ED" w14:textId="10672378" w:rsidR="007F12B8" w:rsidRPr="002C4910" w:rsidRDefault="007F12B8" w:rsidP="00277B3A">
      <w:pPr>
        <w:spacing w:before="120" w:after="120"/>
        <w:jc w:val="both"/>
        <w:rPr>
          <w:rFonts w:eastAsiaTheme="majorEastAsia" w:cs="Arial"/>
          <w:b/>
          <w:bCs/>
          <w:i/>
          <w:iCs/>
          <w:color w:val="122255"/>
          <w:szCs w:val="20"/>
        </w:rPr>
      </w:pPr>
      <w:r w:rsidRPr="002C4910">
        <w:rPr>
          <w:rFonts w:eastAsiaTheme="majorEastAsia" w:cs="Arial"/>
          <w:b/>
          <w:bCs/>
          <w:i/>
          <w:iCs/>
          <w:color w:val="122255"/>
          <w:szCs w:val="20"/>
        </w:rPr>
        <w:t>Banque</w:t>
      </w:r>
      <w:r w:rsidR="000E103B" w:rsidRPr="002C4910">
        <w:rPr>
          <w:rFonts w:eastAsiaTheme="majorEastAsia" w:cs="Arial"/>
          <w:b/>
          <w:bCs/>
          <w:i/>
          <w:iCs/>
          <w:color w:val="122255"/>
          <w:szCs w:val="20"/>
        </w:rPr>
        <w:t xml:space="preserve"> Africaine de Développement (BA</w:t>
      </w:r>
      <w:r w:rsidRPr="002C4910">
        <w:rPr>
          <w:rFonts w:eastAsiaTheme="majorEastAsia" w:cs="Arial"/>
          <w:b/>
          <w:bCs/>
          <w:i/>
          <w:iCs/>
          <w:color w:val="122255"/>
          <w:szCs w:val="20"/>
        </w:rPr>
        <w:t>D) :</w:t>
      </w:r>
    </w:p>
    <w:p w14:paraId="5CCBA188" w14:textId="5FC866BE" w:rsidR="000E1F67" w:rsidRPr="002C4910" w:rsidRDefault="000E1F67" w:rsidP="00277B3A">
      <w:pPr>
        <w:spacing w:after="120"/>
        <w:jc w:val="both"/>
        <w:rPr>
          <w:rFonts w:eastAsia="Times New Roman" w:cs="Arial"/>
          <w:szCs w:val="20"/>
          <w:lang w:eastAsia="fr-FR"/>
        </w:rPr>
      </w:pPr>
      <w:r w:rsidRPr="002C4910">
        <w:rPr>
          <w:rFonts w:eastAsia="Times New Roman" w:cs="Arial"/>
          <w:szCs w:val="20"/>
          <w:lang w:eastAsia="fr-FR"/>
        </w:rPr>
        <w:t>Alors que la BAD faisait face à des contraintes de risque prudentiel sur la Tunisie jusqu’en 2014, ce qui limitait ses capacités d’intervention (environ 80 M$ engagés en 2014), elle s’est désormais engagé pleinement, au point de faire de la Tunisie son 5</w:t>
      </w:r>
      <w:r w:rsidRPr="002C4910">
        <w:rPr>
          <w:rFonts w:eastAsia="Times New Roman" w:cs="Arial"/>
          <w:szCs w:val="20"/>
          <w:vertAlign w:val="superscript"/>
          <w:lang w:eastAsia="fr-FR"/>
        </w:rPr>
        <w:t>ème</w:t>
      </w:r>
      <w:r w:rsidRPr="002C4910">
        <w:rPr>
          <w:rFonts w:eastAsia="Times New Roman" w:cs="Arial"/>
          <w:szCs w:val="20"/>
          <w:lang w:eastAsia="fr-FR"/>
        </w:rPr>
        <w:t xml:space="preserve"> plus gros emprunteur. </w:t>
      </w:r>
      <w:r w:rsidRPr="002C4910">
        <w:rPr>
          <w:rFonts w:eastAsia="Times New Roman" w:cs="Arial"/>
          <w:szCs w:val="20"/>
          <w:u w:val="single"/>
          <w:lang w:eastAsia="fr-FR"/>
        </w:rPr>
        <w:t>En 2016, la BAD a ainsi engagé 680 M$ de financements nouveaux, faisant de la Tunisie le 4</w:t>
      </w:r>
      <w:r w:rsidRPr="002C4910">
        <w:rPr>
          <w:rFonts w:eastAsia="Times New Roman" w:cs="Arial"/>
          <w:szCs w:val="20"/>
          <w:u w:val="single"/>
          <w:vertAlign w:val="superscript"/>
          <w:lang w:eastAsia="fr-FR"/>
        </w:rPr>
        <w:t>ième</w:t>
      </w:r>
      <w:r w:rsidRPr="002C4910">
        <w:rPr>
          <w:rFonts w:eastAsia="Times New Roman" w:cs="Arial"/>
          <w:szCs w:val="20"/>
          <w:u w:val="single"/>
          <w:lang w:eastAsia="fr-FR"/>
        </w:rPr>
        <w:t xml:space="preserve"> pays bénéficiaire derrière le Nigéria, l’Algérie et le Kenya</w:t>
      </w:r>
      <w:r w:rsidRPr="002C4910">
        <w:rPr>
          <w:rFonts w:eastAsia="Times New Roman" w:cs="Arial"/>
          <w:szCs w:val="20"/>
          <w:lang w:eastAsia="fr-FR"/>
        </w:rPr>
        <w:t xml:space="preserve">. Cela comprend notamment deux prêts d’aide budgétaire visant à appuyer la modernisation du secteur financier (280 M$) et à réduire les disparités régionales en Tunisie (190 M$). La BAD détient fin 2016 </w:t>
      </w:r>
      <w:r w:rsidRPr="002C4910">
        <w:rPr>
          <w:rFonts w:eastAsia="Times New Roman" w:cs="Arial"/>
          <w:szCs w:val="20"/>
          <w:u w:val="single"/>
          <w:lang w:eastAsia="fr-FR"/>
        </w:rPr>
        <w:t>un important portefeuille actif de projets, avec 43 opérations en cours dont un nombre important d’assistances technique, représentant un engagement financier total d’environ 1,8 Md$</w:t>
      </w:r>
      <w:r w:rsidRPr="002C4910">
        <w:rPr>
          <w:rFonts w:eastAsia="Times New Roman" w:cs="Arial"/>
          <w:szCs w:val="20"/>
          <w:lang w:eastAsia="fr-FR"/>
        </w:rPr>
        <w:t>.</w:t>
      </w:r>
    </w:p>
    <w:p w14:paraId="62864386" w14:textId="6B77056A" w:rsidR="00AA3216" w:rsidRPr="002C4910" w:rsidRDefault="000E1F67" w:rsidP="00277B3A">
      <w:pPr>
        <w:spacing w:after="120"/>
        <w:jc w:val="both"/>
        <w:rPr>
          <w:rFonts w:eastAsia="Times New Roman" w:cs="Arial"/>
          <w:szCs w:val="20"/>
          <w:lang w:eastAsia="fr-FR"/>
        </w:rPr>
      </w:pPr>
      <w:r w:rsidRPr="002C4910">
        <w:rPr>
          <w:rFonts w:eastAsia="Times New Roman" w:cs="Arial"/>
          <w:szCs w:val="20"/>
          <w:u w:val="single"/>
          <w:lang w:eastAsia="fr-FR"/>
        </w:rPr>
        <w:t>En mai 2017, la BAD a approuvé son document de stratégie 2017-2021 qui vise à accompagner la mise en œuvre du plan gouvernemental de développement</w:t>
      </w:r>
      <w:r w:rsidRPr="002C4910">
        <w:rPr>
          <w:rFonts w:eastAsia="Times New Roman" w:cs="Arial"/>
          <w:szCs w:val="20"/>
          <w:lang w:eastAsia="fr-FR"/>
        </w:rPr>
        <w:t xml:space="preserve"> 2016-2020 autour de deux piliers : (i) industrialisation et développement des chaines de valeur locales ; et (ii) amélioration de la qualité de vie des populations des régions prioritaires. Dans ce cadre, elle a engagé de nouveaux programmes d’envergure : projet d’appui à la connectivité routière dans le nord-est de la Tunisie (130 M$), projet d’appui au développement des compétences techniques et technologiques en Tunisie (90 M$), ligne de crédit en faveur d’une banque privée pour le financement des PME (65 M$), projet de valorisation des périmètres irrigués à travers le développement des chaines de valeur agricoles (40 M$), ligne de crédit en faveur d’une société de leasing (10 M$).</w:t>
      </w:r>
    </w:p>
    <w:p w14:paraId="779D2206" w14:textId="261A710D" w:rsidR="007F12B8" w:rsidRPr="002C4910" w:rsidRDefault="007F12B8" w:rsidP="00277B3A">
      <w:pPr>
        <w:spacing w:before="120" w:after="120"/>
        <w:jc w:val="both"/>
        <w:rPr>
          <w:rFonts w:eastAsiaTheme="majorEastAsia" w:cs="Arial"/>
          <w:b/>
          <w:bCs/>
          <w:i/>
          <w:iCs/>
          <w:color w:val="122255"/>
          <w:szCs w:val="20"/>
        </w:rPr>
      </w:pPr>
      <w:r w:rsidRPr="002C4910">
        <w:rPr>
          <w:rFonts w:eastAsiaTheme="majorEastAsia" w:cs="Arial"/>
          <w:b/>
          <w:bCs/>
          <w:i/>
          <w:iCs/>
          <w:color w:val="122255"/>
          <w:szCs w:val="20"/>
        </w:rPr>
        <w:lastRenderedPageBreak/>
        <w:t>Banque Européenne de Reconstruction et de Développement (BERD) :</w:t>
      </w:r>
    </w:p>
    <w:p w14:paraId="6E8B802A" w14:textId="77777777" w:rsidR="000E1F67" w:rsidRPr="00277B3A" w:rsidRDefault="000E1F67" w:rsidP="00277B3A">
      <w:pPr>
        <w:spacing w:after="120"/>
        <w:jc w:val="both"/>
        <w:rPr>
          <w:rFonts w:eastAsia="Times New Roman" w:cs="Arial"/>
          <w:szCs w:val="20"/>
          <w:lang w:eastAsia="fr-FR"/>
        </w:rPr>
      </w:pPr>
      <w:r w:rsidRPr="00277B3A">
        <w:rPr>
          <w:rFonts w:eastAsia="Times New Roman" w:cs="Arial"/>
          <w:szCs w:val="20"/>
          <w:u w:val="single"/>
          <w:lang w:eastAsia="fr-FR"/>
        </w:rPr>
        <w:t>La Tunisie a obtenu le statut de pays d’opération en Tunisie en 2013</w:t>
      </w:r>
      <w:r w:rsidRPr="00277B3A">
        <w:rPr>
          <w:rFonts w:eastAsia="Times New Roman" w:cs="Arial"/>
          <w:szCs w:val="20"/>
          <w:lang w:eastAsia="fr-FR"/>
        </w:rPr>
        <w:t xml:space="preserve">. Depuis, la BERD s’est engagée sur 24 projets, principalement dans les secteurs financiers (50% du portefeuille, via des lignes de crédit accordées à des établissements financiers tunisiens), énergétiques (26% de son portefeuille) et industriels (18%), </w:t>
      </w:r>
      <w:r w:rsidRPr="00277B3A">
        <w:rPr>
          <w:rFonts w:eastAsia="Times New Roman" w:cs="Arial"/>
          <w:szCs w:val="20"/>
          <w:u w:val="single"/>
          <w:lang w:eastAsia="fr-FR"/>
        </w:rPr>
        <w:t>pour un montant global de 375 M€, dont 75% dans le secteur privé</w:t>
      </w:r>
      <w:r w:rsidRPr="00277B3A">
        <w:rPr>
          <w:rFonts w:eastAsia="Times New Roman" w:cs="Arial"/>
          <w:szCs w:val="20"/>
          <w:lang w:eastAsia="fr-FR"/>
        </w:rPr>
        <w:t xml:space="preserve">. </w:t>
      </w:r>
      <w:r w:rsidRPr="00277B3A">
        <w:rPr>
          <w:rFonts w:eastAsia="Times New Roman" w:cs="Arial"/>
          <w:szCs w:val="20"/>
          <w:u w:val="single"/>
          <w:lang w:eastAsia="fr-FR"/>
        </w:rPr>
        <w:t xml:space="preserve">En novembre 2016, la BERD a annoncé au cours de la Conférence </w:t>
      </w:r>
      <w:r w:rsidRPr="00277B3A">
        <w:rPr>
          <w:rFonts w:eastAsia="Times New Roman" w:cs="Arial"/>
          <w:i/>
          <w:szCs w:val="20"/>
          <w:u w:val="single"/>
          <w:lang w:eastAsia="fr-FR"/>
        </w:rPr>
        <w:t>Tunisie 2020</w:t>
      </w:r>
      <w:r w:rsidRPr="00277B3A">
        <w:rPr>
          <w:rFonts w:eastAsia="Times New Roman" w:cs="Arial"/>
          <w:szCs w:val="20"/>
          <w:u w:val="single"/>
          <w:lang w:eastAsia="fr-FR"/>
        </w:rPr>
        <w:t xml:space="preserve"> un investissement global potentiel de 650 M€ au cours des cinq prochaines années</w:t>
      </w:r>
      <w:r w:rsidRPr="00277B3A">
        <w:rPr>
          <w:rFonts w:eastAsia="Times New Roman" w:cs="Arial"/>
          <w:szCs w:val="20"/>
          <w:lang w:eastAsia="fr-FR"/>
        </w:rPr>
        <w:t>.</w:t>
      </w:r>
    </w:p>
    <w:p w14:paraId="78C0B820" w14:textId="77777777" w:rsidR="000E1F67" w:rsidRPr="00277B3A" w:rsidRDefault="000E1F67" w:rsidP="00277B3A">
      <w:pPr>
        <w:spacing w:after="60"/>
        <w:contextualSpacing/>
        <w:jc w:val="both"/>
        <w:rPr>
          <w:rFonts w:eastAsia="Times New Roman" w:cs="Arial"/>
          <w:szCs w:val="20"/>
          <w:lang w:eastAsia="fr-FR"/>
        </w:rPr>
      </w:pPr>
      <w:r w:rsidRPr="00277B3A">
        <w:rPr>
          <w:rFonts w:eastAsia="Times New Roman" w:cs="Arial"/>
          <w:szCs w:val="20"/>
          <w:lang w:eastAsia="fr-FR"/>
        </w:rPr>
        <w:t xml:space="preserve">En 2017, la BERD a accordé à l’UIB et à l’UBCI (deux filiales de banques françaises – Société Générale et BNP Paribas) des prêt de respectivement 40 M€ et 30 M€ afin de renforcer leurs activités de </w:t>
      </w:r>
      <w:r w:rsidRPr="00277B3A">
        <w:rPr>
          <w:rFonts w:eastAsia="Times New Roman" w:cs="Arial"/>
          <w:szCs w:val="20"/>
          <w:u w:val="single"/>
          <w:lang w:eastAsia="fr-FR"/>
        </w:rPr>
        <w:t>financement des PME et favoriser le financement du commerce international </w:t>
      </w:r>
      <w:r w:rsidRPr="00277B3A">
        <w:rPr>
          <w:rFonts w:eastAsia="Times New Roman" w:cs="Arial"/>
          <w:szCs w:val="20"/>
          <w:lang w:eastAsia="fr-FR"/>
        </w:rPr>
        <w:t xml:space="preserve">de ces banques. Elle a également mis en en place un financement similaire auprès de la Banque de Tunisie, pour un montant de 50 M€. Elle a lancé un </w:t>
      </w:r>
      <w:r w:rsidRPr="00277B3A">
        <w:rPr>
          <w:rFonts w:eastAsia="Times New Roman" w:cs="Arial"/>
          <w:szCs w:val="20"/>
          <w:u w:val="single"/>
          <w:lang w:eastAsia="fr-FR"/>
        </w:rPr>
        <w:t>programme d’appui au secteur des Technologies de l’Information et de la Communication</w:t>
      </w:r>
      <w:r w:rsidRPr="00277B3A">
        <w:rPr>
          <w:rFonts w:eastAsia="Times New Roman" w:cs="Arial"/>
          <w:szCs w:val="20"/>
          <w:lang w:eastAsia="fr-FR"/>
        </w:rPr>
        <w:t xml:space="preserve"> (TIC) cofinancé avec l’UE, pour un montant global de 28 M€. La BERD participe en outre à hauteur de 66 M€ à un programme de </w:t>
      </w:r>
      <w:r w:rsidRPr="00277B3A">
        <w:rPr>
          <w:rFonts w:eastAsia="Times New Roman" w:cs="Arial"/>
          <w:szCs w:val="20"/>
          <w:u w:val="single"/>
          <w:lang w:eastAsia="fr-FR"/>
        </w:rPr>
        <w:t>réhabilitation du réseau sanitaire</w:t>
      </w:r>
      <w:r w:rsidRPr="00277B3A">
        <w:rPr>
          <w:rFonts w:eastAsia="Times New Roman" w:cs="Arial"/>
          <w:szCs w:val="20"/>
          <w:lang w:eastAsia="fr-FR"/>
        </w:rPr>
        <w:t xml:space="preserve"> dans 35 villes du pays, en partenariat avec la BAD et le gouvernement tunisien (pour un montant global de 160 M€). Enfin, elle a accordé en décembre 2017 un prêt de 160 M€ à destination de la SNCFT pour financer une </w:t>
      </w:r>
      <w:r w:rsidRPr="00277B3A">
        <w:rPr>
          <w:rFonts w:eastAsia="Times New Roman" w:cs="Arial"/>
          <w:szCs w:val="20"/>
          <w:u w:val="single"/>
          <w:lang w:eastAsia="fr-FR"/>
        </w:rPr>
        <w:t>amélioration du réseau ferré</w:t>
      </w:r>
      <w:r w:rsidRPr="00277B3A">
        <w:rPr>
          <w:rFonts w:eastAsia="Times New Roman" w:cs="Arial"/>
          <w:szCs w:val="20"/>
          <w:lang w:eastAsia="fr-FR"/>
        </w:rPr>
        <w:t xml:space="preserve"> dans le pays. </w:t>
      </w:r>
    </w:p>
    <w:p w14:paraId="404AEF1D"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15C407DA"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1C6DE148"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3E684BA4"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422AAD2B"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7A42153F"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38E253CB"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5DB5689D"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137B2F05"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77C7A070"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1D1D2163" w14:textId="77777777" w:rsidR="005C7BB5" w:rsidRPr="002C4910" w:rsidRDefault="005C7BB5">
      <w:pPr>
        <w:autoSpaceDE w:val="0"/>
        <w:autoSpaceDN w:val="0"/>
        <w:adjustRightInd w:val="0"/>
        <w:spacing w:before="120" w:after="120"/>
        <w:jc w:val="both"/>
        <w:rPr>
          <w:rFonts w:eastAsia="Times New Roman" w:cs="Arial"/>
          <w:szCs w:val="20"/>
          <w:lang w:eastAsia="fr-FR"/>
        </w:rPr>
      </w:pPr>
    </w:p>
    <w:p w14:paraId="0196A23E" w14:textId="77777777" w:rsidR="005C7BB5" w:rsidRPr="002C4910" w:rsidRDefault="005C7BB5">
      <w:pPr>
        <w:autoSpaceDE w:val="0"/>
        <w:autoSpaceDN w:val="0"/>
        <w:adjustRightInd w:val="0"/>
        <w:spacing w:before="120" w:after="120"/>
        <w:jc w:val="both"/>
        <w:rPr>
          <w:rFonts w:eastAsia="Times New Roman" w:cs="Arial"/>
          <w:szCs w:val="20"/>
          <w:lang w:eastAsia="fr-FR"/>
        </w:rPr>
      </w:pPr>
    </w:p>
    <w:p w14:paraId="0ADADEBF" w14:textId="77777777" w:rsidR="005C7BB5" w:rsidRPr="002C4910" w:rsidRDefault="005C7BB5">
      <w:pPr>
        <w:autoSpaceDE w:val="0"/>
        <w:autoSpaceDN w:val="0"/>
        <w:adjustRightInd w:val="0"/>
        <w:spacing w:before="120" w:after="120"/>
        <w:jc w:val="both"/>
        <w:rPr>
          <w:rFonts w:eastAsia="Times New Roman" w:cs="Arial"/>
          <w:szCs w:val="20"/>
          <w:lang w:eastAsia="fr-FR"/>
        </w:rPr>
      </w:pPr>
    </w:p>
    <w:p w14:paraId="59E16A89" w14:textId="77777777" w:rsidR="005C7BB5" w:rsidRPr="002C4910" w:rsidRDefault="005C7BB5">
      <w:pPr>
        <w:autoSpaceDE w:val="0"/>
        <w:autoSpaceDN w:val="0"/>
        <w:adjustRightInd w:val="0"/>
        <w:spacing w:before="120" w:after="120"/>
        <w:jc w:val="both"/>
        <w:rPr>
          <w:rFonts w:eastAsia="Times New Roman" w:cs="Arial"/>
          <w:szCs w:val="20"/>
          <w:lang w:eastAsia="fr-FR"/>
        </w:rPr>
      </w:pPr>
    </w:p>
    <w:p w14:paraId="37C0E200" w14:textId="77777777" w:rsidR="005C7BB5" w:rsidRPr="002C4910" w:rsidRDefault="005C7BB5">
      <w:pPr>
        <w:autoSpaceDE w:val="0"/>
        <w:autoSpaceDN w:val="0"/>
        <w:adjustRightInd w:val="0"/>
        <w:spacing w:before="120" w:after="120"/>
        <w:jc w:val="both"/>
        <w:rPr>
          <w:rFonts w:eastAsia="Times New Roman" w:cs="Arial"/>
          <w:szCs w:val="20"/>
          <w:lang w:eastAsia="fr-FR"/>
        </w:rPr>
      </w:pPr>
    </w:p>
    <w:p w14:paraId="1ECA19C7" w14:textId="77777777" w:rsidR="005C7BB5" w:rsidRPr="002C4910" w:rsidRDefault="005C7BB5">
      <w:pPr>
        <w:autoSpaceDE w:val="0"/>
        <w:autoSpaceDN w:val="0"/>
        <w:adjustRightInd w:val="0"/>
        <w:spacing w:before="120" w:after="120"/>
        <w:jc w:val="both"/>
        <w:rPr>
          <w:rFonts w:eastAsia="Times New Roman" w:cs="Arial"/>
          <w:szCs w:val="20"/>
          <w:lang w:eastAsia="fr-FR"/>
        </w:rPr>
      </w:pPr>
    </w:p>
    <w:p w14:paraId="2E95B8AE"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40DAA9B4"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1FAD249A" w14:textId="77777777" w:rsidR="000A0363" w:rsidRPr="002C4910" w:rsidRDefault="000A0363">
      <w:pPr>
        <w:autoSpaceDE w:val="0"/>
        <w:autoSpaceDN w:val="0"/>
        <w:adjustRightInd w:val="0"/>
        <w:spacing w:before="120" w:after="120"/>
        <w:jc w:val="both"/>
        <w:rPr>
          <w:rFonts w:eastAsia="Times New Roman" w:cs="Arial"/>
          <w:szCs w:val="20"/>
          <w:lang w:eastAsia="fr-FR"/>
        </w:rPr>
      </w:pPr>
    </w:p>
    <w:p w14:paraId="050457A2" w14:textId="77777777" w:rsidR="000A0363" w:rsidRPr="002C4910" w:rsidRDefault="000A0363">
      <w:pPr>
        <w:autoSpaceDE w:val="0"/>
        <w:autoSpaceDN w:val="0"/>
        <w:adjustRightInd w:val="0"/>
        <w:spacing w:before="120" w:after="120"/>
        <w:jc w:val="both"/>
        <w:rPr>
          <w:rFonts w:cs="Arial"/>
          <w:sz w:val="22"/>
        </w:rPr>
      </w:pPr>
    </w:p>
    <w:p w14:paraId="629223D3" w14:textId="77777777" w:rsidR="007133F8" w:rsidRPr="002C4910" w:rsidRDefault="007133F8">
      <w:pPr>
        <w:autoSpaceDE w:val="0"/>
        <w:autoSpaceDN w:val="0"/>
        <w:adjustRightInd w:val="0"/>
        <w:spacing w:before="120" w:after="120"/>
        <w:jc w:val="both"/>
        <w:rPr>
          <w:rFonts w:cs="Arial"/>
          <w:sz w:val="6"/>
        </w:rPr>
      </w:pPr>
    </w:p>
    <w:tbl>
      <w:tblPr>
        <w:tblStyle w:val="Grilledutableau"/>
        <w:tblW w:w="0" w:type="auto"/>
        <w:shd w:val="clear" w:color="auto" w:fill="E6A300"/>
        <w:tblLook w:val="04A0" w:firstRow="1" w:lastRow="0" w:firstColumn="1" w:lastColumn="0" w:noHBand="0" w:noVBand="1"/>
      </w:tblPr>
      <w:tblGrid>
        <w:gridCol w:w="9628"/>
      </w:tblGrid>
      <w:tr w:rsidR="002C1015" w:rsidRPr="002C4910" w14:paraId="1C7BF07A" w14:textId="77777777" w:rsidTr="00E974EE">
        <w:trPr>
          <w:trHeight w:val="70"/>
        </w:trPr>
        <w:tc>
          <w:tcPr>
            <w:tcW w:w="9628" w:type="dxa"/>
            <w:shd w:val="clear" w:color="auto" w:fill="E6A300"/>
          </w:tcPr>
          <w:p w14:paraId="7BB65230" w14:textId="77777777" w:rsidR="002C1015" w:rsidRPr="002C4910" w:rsidRDefault="002C1015">
            <w:pPr>
              <w:pStyle w:val="Titre5"/>
              <w:spacing w:after="120" w:line="276" w:lineRule="auto"/>
              <w:outlineLvl w:val="4"/>
              <w:rPr>
                <w:rFonts w:cs="Arial"/>
              </w:rPr>
            </w:pPr>
            <w:r w:rsidRPr="002C4910">
              <w:rPr>
                <w:rFonts w:cs="Arial"/>
              </w:rPr>
              <w:t xml:space="preserve">Clause de non-responsabilité - 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 </w:t>
            </w:r>
          </w:p>
        </w:tc>
      </w:tr>
    </w:tbl>
    <w:p w14:paraId="59C547AB" w14:textId="77777777" w:rsidR="000F0B51" w:rsidRPr="002C4910" w:rsidRDefault="000F0B51">
      <w:pPr>
        <w:spacing w:before="120" w:after="120"/>
        <w:jc w:val="both"/>
        <w:rPr>
          <w:rFonts w:cs="Arial"/>
        </w:rPr>
      </w:pPr>
    </w:p>
    <w:sectPr w:rsidR="000F0B51" w:rsidRPr="002C4910" w:rsidSect="00277B3A">
      <w:footerReference w:type="default" r:id="rId8"/>
      <w:pgSz w:w="11906" w:h="16838"/>
      <w:pgMar w:top="993" w:right="1134" w:bottom="1134" w:left="1134"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32EA2" w14:textId="77777777" w:rsidR="00425979" w:rsidRDefault="00425979" w:rsidP="00F425DB">
      <w:pPr>
        <w:spacing w:after="0" w:line="240" w:lineRule="auto"/>
      </w:pPr>
      <w:r>
        <w:separator/>
      </w:r>
    </w:p>
  </w:endnote>
  <w:endnote w:type="continuationSeparator" w:id="0">
    <w:p w14:paraId="53ABD6A2" w14:textId="77777777" w:rsidR="00425979" w:rsidRDefault="00425979" w:rsidP="00F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22255"/>
      </w:rPr>
      <w:id w:val="1865555729"/>
      <w:docPartObj>
        <w:docPartGallery w:val="Page Numbers (Bottom of Page)"/>
        <w:docPartUnique/>
      </w:docPartObj>
    </w:sdtPr>
    <w:sdtEndPr>
      <w:rPr>
        <w:color w:val="auto"/>
        <w:sz w:val="18"/>
        <w:szCs w:val="18"/>
      </w:rPr>
    </w:sdtEndPr>
    <w:sdtContent>
      <w:tbl>
        <w:tblPr>
          <w:tblStyle w:val="Grilledutableau"/>
          <w:tblW w:w="9957" w:type="dxa"/>
          <w:tblInd w:w="108" w:type="dxa"/>
          <w:tblBorders>
            <w:top w:val="single" w:sz="12" w:space="0" w:color="E6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5040"/>
          <w:gridCol w:w="2331"/>
        </w:tblGrid>
        <w:tr w:rsidR="00347E10" w:rsidRPr="00347E10" w14:paraId="270229AE" w14:textId="77777777" w:rsidTr="00D26110">
          <w:trPr>
            <w:trHeight w:val="815"/>
          </w:trPr>
          <w:tc>
            <w:tcPr>
              <w:tcW w:w="2586" w:type="dxa"/>
            </w:tcPr>
            <w:p w14:paraId="37520FAD" w14:textId="130A06D3" w:rsidR="005A69FD" w:rsidRPr="00FF6E23" w:rsidRDefault="00AA3216" w:rsidP="00D26110">
              <w:pPr>
                <w:tabs>
                  <w:tab w:val="left" w:pos="2194"/>
                </w:tabs>
                <w:spacing w:before="120"/>
                <w:rPr>
                  <w:rFonts w:ascii="Arial Gras" w:hAnsi="Arial Gras" w:cs="Arial"/>
                  <w:b/>
                  <w:bCs/>
                  <w:color w:val="122255"/>
                  <w:sz w:val="16"/>
                </w:rPr>
              </w:pPr>
              <w:r>
                <w:rPr>
                  <w:rFonts w:ascii="Arial Gras" w:hAnsi="Arial Gras" w:cs="Arial"/>
                  <w:b/>
                  <w:bCs/>
                  <w:color w:val="122255"/>
                  <w:sz w:val="16"/>
                </w:rPr>
                <w:t>janvier 2018</w:t>
              </w:r>
              <w:r w:rsidR="005A69FD" w:rsidRPr="00347E10">
                <w:rPr>
                  <w:rFonts w:ascii="Arial Gras" w:hAnsi="Arial Gras" w:cs="Arial"/>
                  <w:b/>
                  <w:bCs/>
                  <w:color w:val="122255"/>
                  <w:sz w:val="16"/>
                </w:rPr>
                <w:t xml:space="preserve"> </w:t>
              </w:r>
              <w:r w:rsidR="00C3179B" w:rsidRPr="00347E10">
                <w:rPr>
                  <w:rFonts w:ascii="Arial Gras" w:hAnsi="Arial Gras" w:cs="Arial"/>
                  <w:b/>
                  <w:color w:val="122255"/>
                  <w:sz w:val="16"/>
                </w:rPr>
                <w:t>© DG Trésor</w:t>
              </w:r>
            </w:p>
            <w:p w14:paraId="623027B4" w14:textId="3033FC8F" w:rsidR="005A69FD" w:rsidRPr="00347E10" w:rsidRDefault="005A69FD" w:rsidP="005A69FD">
              <w:pPr>
                <w:rPr>
                  <w:color w:val="122255"/>
                  <w:sz w:val="18"/>
                  <w:szCs w:val="18"/>
                </w:rPr>
              </w:pPr>
            </w:p>
          </w:tc>
          <w:tc>
            <w:tcPr>
              <w:tcW w:w="5040" w:type="dxa"/>
            </w:tcPr>
            <w:p w14:paraId="6C701CA6" w14:textId="77777777" w:rsidR="00803591" w:rsidRPr="00347E10" w:rsidRDefault="00803591" w:rsidP="00D26110">
              <w:pPr>
                <w:spacing w:before="120"/>
                <w:ind w:left="-108" w:firstLine="108"/>
                <w:jc w:val="center"/>
                <w:rPr>
                  <w:b/>
                  <w:color w:val="122255"/>
                  <w:sz w:val="18"/>
                  <w:szCs w:val="18"/>
                </w:rPr>
              </w:pPr>
              <w:r w:rsidRPr="00347E10">
                <w:rPr>
                  <w:b/>
                  <w:color w:val="122255"/>
                  <w:sz w:val="18"/>
                  <w:szCs w:val="18"/>
                </w:rPr>
                <w:t xml:space="preserve">AMBASSADE DE FRANCE </w:t>
              </w:r>
              <w:r w:rsidR="002D6BD9">
                <w:rPr>
                  <w:b/>
                  <w:color w:val="122255"/>
                  <w:sz w:val="18"/>
                  <w:szCs w:val="18"/>
                </w:rPr>
                <w:t>EN TUNISIE</w:t>
              </w:r>
            </w:p>
            <w:p w14:paraId="2407FA9A" w14:textId="6DF458FE" w:rsidR="005A69FD" w:rsidRDefault="002D6BD9" w:rsidP="00803591">
              <w:pPr>
                <w:jc w:val="center"/>
                <w:rPr>
                  <w:b/>
                  <w:color w:val="122255"/>
                  <w:sz w:val="18"/>
                  <w:szCs w:val="18"/>
                </w:rPr>
              </w:pPr>
              <w:r>
                <w:rPr>
                  <w:b/>
                  <w:color w:val="122255"/>
                  <w:sz w:val="18"/>
                  <w:szCs w:val="18"/>
                </w:rPr>
                <w:t>SERVICE ECONOMIQUE REGIONAL</w:t>
              </w:r>
            </w:p>
            <w:p w14:paraId="6125A7CE" w14:textId="77777777" w:rsidR="002611F0" w:rsidRPr="002611F0" w:rsidRDefault="002611F0" w:rsidP="00803591">
              <w:pPr>
                <w:jc w:val="center"/>
                <w:rPr>
                  <w:color w:val="122255"/>
                  <w:sz w:val="16"/>
                  <w:szCs w:val="16"/>
                </w:rPr>
              </w:pPr>
            </w:p>
          </w:tc>
          <w:tc>
            <w:tcPr>
              <w:tcW w:w="2331" w:type="dxa"/>
            </w:tcPr>
            <w:p w14:paraId="7CA37D13" w14:textId="77777777" w:rsidR="005A69FD" w:rsidRPr="00347E10" w:rsidRDefault="005A69FD" w:rsidP="00347E10">
              <w:pPr>
                <w:spacing w:before="120"/>
                <w:jc w:val="right"/>
                <w:rPr>
                  <w:b/>
                  <w:color w:val="122255"/>
                  <w:sz w:val="16"/>
                  <w:szCs w:val="16"/>
                </w:rPr>
              </w:pPr>
              <w:r w:rsidRPr="00347E10">
                <w:rPr>
                  <w:b/>
                  <w:color w:val="122255"/>
                  <w:sz w:val="16"/>
                  <w:szCs w:val="16"/>
                </w:rPr>
                <w:fldChar w:fldCharType="begin"/>
              </w:r>
              <w:r w:rsidRPr="00347E10">
                <w:rPr>
                  <w:b/>
                  <w:color w:val="122255"/>
                  <w:sz w:val="16"/>
                  <w:szCs w:val="16"/>
                </w:rPr>
                <w:instrText>PAGE   \* MERGEFORMAT</w:instrText>
              </w:r>
              <w:r w:rsidRPr="00347E10">
                <w:rPr>
                  <w:b/>
                  <w:color w:val="122255"/>
                  <w:sz w:val="16"/>
                  <w:szCs w:val="16"/>
                </w:rPr>
                <w:fldChar w:fldCharType="separate"/>
              </w:r>
              <w:r w:rsidR="00884A31">
                <w:rPr>
                  <w:b/>
                  <w:noProof/>
                  <w:color w:val="122255"/>
                  <w:sz w:val="16"/>
                  <w:szCs w:val="16"/>
                </w:rPr>
                <w:t>3</w:t>
              </w:r>
              <w:r w:rsidRPr="00347E10">
                <w:rPr>
                  <w:b/>
                  <w:color w:val="122255"/>
                  <w:sz w:val="16"/>
                  <w:szCs w:val="16"/>
                </w:rPr>
                <w:fldChar w:fldCharType="end"/>
              </w:r>
            </w:p>
          </w:tc>
        </w:tr>
      </w:tbl>
      <w:p w14:paraId="1905C1B8" w14:textId="1938BAE5" w:rsidR="005A69FD" w:rsidRPr="005A69FD" w:rsidRDefault="00942060" w:rsidP="00942060">
        <w:pPr>
          <w:pStyle w:val="Pieddepage"/>
          <w:tabs>
            <w:tab w:val="clear" w:pos="4536"/>
            <w:tab w:val="clear" w:pos="9072"/>
            <w:tab w:val="left" w:pos="2327"/>
          </w:tabs>
          <w:rPr>
            <w:sz w:val="18"/>
            <w:szCs w:val="18"/>
          </w:rPr>
        </w:pPr>
        <w:r>
          <w:rPr>
            <w:sz w:val="18"/>
            <w:szCs w:val="18"/>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0F14B" w14:textId="77777777" w:rsidR="00425979" w:rsidRDefault="00425979" w:rsidP="00F425DB">
      <w:pPr>
        <w:spacing w:after="0" w:line="240" w:lineRule="auto"/>
      </w:pPr>
      <w:r>
        <w:separator/>
      </w:r>
    </w:p>
  </w:footnote>
  <w:footnote w:type="continuationSeparator" w:id="0">
    <w:p w14:paraId="3123A85B" w14:textId="77777777" w:rsidR="00425979" w:rsidRDefault="00425979" w:rsidP="00F42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in;height:3in" o:bullet="t"/>
    </w:pict>
  </w:numPicBullet>
  <w:numPicBullet w:numPicBulletId="1">
    <w:pict>
      <v:shape id="_x0000_i1123" type="#_x0000_t75" style="width:3in;height:3in" o:bullet="t"/>
    </w:pict>
  </w:numPicBullet>
  <w:numPicBullet w:numPicBulletId="2">
    <w:pict>
      <v:shape id="_x0000_i1124" type="#_x0000_t75" style="width:3in;height:3in" o:bullet="t"/>
    </w:pict>
  </w:numPicBullet>
  <w:numPicBullet w:numPicBulletId="3">
    <w:pict>
      <v:shape id="_x0000_i1125" type="#_x0000_t75" style="width:3in;height:3in" o:bullet="t"/>
    </w:pict>
  </w:numPicBullet>
  <w:abstractNum w:abstractNumId="0" w15:restartNumberingAfterBreak="0">
    <w:nsid w:val="04671D7C"/>
    <w:multiLevelType w:val="hybridMultilevel"/>
    <w:tmpl w:val="0E82E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0B3303"/>
    <w:multiLevelType w:val="multilevel"/>
    <w:tmpl w:val="71A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F5AC9"/>
    <w:multiLevelType w:val="hybridMultilevel"/>
    <w:tmpl w:val="3DC417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8E305A"/>
    <w:multiLevelType w:val="hybridMultilevel"/>
    <w:tmpl w:val="34702C72"/>
    <w:lvl w:ilvl="0" w:tplc="299A860E">
      <w:start w:val="21"/>
      <w:numFmt w:val="bullet"/>
      <w:lvlText w:val="-"/>
      <w:lvlJc w:val="left"/>
      <w:pPr>
        <w:ind w:left="720" w:hanging="360"/>
      </w:pPr>
      <w:rPr>
        <w:rFonts w:ascii="FuturaL" w:eastAsia="Calibri" w:hAnsi="FuturaL" w:cs="Times New Roman" w:hint="default"/>
        <w:color w:val="575758"/>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B525F9"/>
    <w:multiLevelType w:val="multilevel"/>
    <w:tmpl w:val="0CAEF0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35E99"/>
    <w:multiLevelType w:val="multilevel"/>
    <w:tmpl w:val="A9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D21A75"/>
    <w:multiLevelType w:val="multilevel"/>
    <w:tmpl w:val="556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8275F"/>
    <w:multiLevelType w:val="multilevel"/>
    <w:tmpl w:val="36F4991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CA83DE7"/>
    <w:multiLevelType w:val="multilevel"/>
    <w:tmpl w:val="2A30D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B5539"/>
    <w:multiLevelType w:val="multilevel"/>
    <w:tmpl w:val="48D478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722E9"/>
    <w:multiLevelType w:val="multilevel"/>
    <w:tmpl w:val="131C6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1576C5"/>
    <w:multiLevelType w:val="multilevel"/>
    <w:tmpl w:val="7F7C4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392DAE"/>
    <w:multiLevelType w:val="multilevel"/>
    <w:tmpl w:val="6FEE7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AB52E5"/>
    <w:multiLevelType w:val="multilevel"/>
    <w:tmpl w:val="BF3298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hint="default"/>
        <w:b/>
        <w:i w:val="0"/>
      </w:rPr>
    </w:lvl>
    <w:lvl w:ilvl="2">
      <w:start w:val="1"/>
      <w:numFmt w:val="decimal"/>
      <w:isLgl/>
      <w:lvlText w:val="%1.%2.%3."/>
      <w:lvlJc w:val="left"/>
      <w:pPr>
        <w:ind w:left="1080" w:hanging="720"/>
      </w:pPr>
      <w:rPr>
        <w:rFonts w:eastAsia="Times New Roman" w:hint="default"/>
        <w:b/>
        <w:i w:val="0"/>
      </w:rPr>
    </w:lvl>
    <w:lvl w:ilvl="3">
      <w:start w:val="1"/>
      <w:numFmt w:val="decimal"/>
      <w:isLgl/>
      <w:lvlText w:val="%1.%2.%3.%4."/>
      <w:lvlJc w:val="left"/>
      <w:pPr>
        <w:ind w:left="1080" w:hanging="720"/>
      </w:pPr>
      <w:rPr>
        <w:rFonts w:eastAsia="Times New Roman" w:hint="default"/>
        <w:b/>
        <w:i w:val="0"/>
      </w:rPr>
    </w:lvl>
    <w:lvl w:ilvl="4">
      <w:start w:val="1"/>
      <w:numFmt w:val="decimal"/>
      <w:isLgl/>
      <w:lvlText w:val="%1.%2.%3.%4.%5."/>
      <w:lvlJc w:val="left"/>
      <w:pPr>
        <w:ind w:left="1440" w:hanging="1080"/>
      </w:pPr>
      <w:rPr>
        <w:rFonts w:eastAsia="Times New Roman" w:hint="default"/>
        <w:b/>
        <w:i w:val="0"/>
      </w:rPr>
    </w:lvl>
    <w:lvl w:ilvl="5">
      <w:start w:val="1"/>
      <w:numFmt w:val="decimal"/>
      <w:isLgl/>
      <w:lvlText w:val="%1.%2.%3.%4.%5.%6."/>
      <w:lvlJc w:val="left"/>
      <w:pPr>
        <w:ind w:left="1440" w:hanging="1080"/>
      </w:pPr>
      <w:rPr>
        <w:rFonts w:eastAsia="Times New Roman" w:hint="default"/>
        <w:b/>
        <w:i w:val="0"/>
      </w:rPr>
    </w:lvl>
    <w:lvl w:ilvl="6">
      <w:start w:val="1"/>
      <w:numFmt w:val="decimal"/>
      <w:isLgl/>
      <w:lvlText w:val="%1.%2.%3.%4.%5.%6.%7."/>
      <w:lvlJc w:val="left"/>
      <w:pPr>
        <w:ind w:left="1800" w:hanging="1440"/>
      </w:pPr>
      <w:rPr>
        <w:rFonts w:eastAsia="Times New Roman" w:hint="default"/>
        <w:b/>
        <w:i w:val="0"/>
      </w:rPr>
    </w:lvl>
    <w:lvl w:ilvl="7">
      <w:start w:val="1"/>
      <w:numFmt w:val="decimal"/>
      <w:isLgl/>
      <w:lvlText w:val="%1.%2.%3.%4.%5.%6.%7.%8."/>
      <w:lvlJc w:val="left"/>
      <w:pPr>
        <w:ind w:left="1800" w:hanging="1440"/>
      </w:pPr>
      <w:rPr>
        <w:rFonts w:eastAsia="Times New Roman" w:hint="default"/>
        <w:b/>
        <w:i w:val="0"/>
      </w:rPr>
    </w:lvl>
    <w:lvl w:ilvl="8">
      <w:start w:val="1"/>
      <w:numFmt w:val="decimal"/>
      <w:isLgl/>
      <w:lvlText w:val="%1.%2.%3.%4.%5.%6.%7.%8.%9."/>
      <w:lvlJc w:val="left"/>
      <w:pPr>
        <w:ind w:left="2160" w:hanging="1800"/>
      </w:pPr>
      <w:rPr>
        <w:rFonts w:eastAsia="Times New Roman" w:hint="default"/>
        <w:b/>
        <w:i w:val="0"/>
      </w:rPr>
    </w:lvl>
  </w:abstractNum>
  <w:abstractNum w:abstractNumId="14" w15:restartNumberingAfterBreak="0">
    <w:nsid w:val="69D311A4"/>
    <w:multiLevelType w:val="hybridMultilevel"/>
    <w:tmpl w:val="00FC14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74CF0029"/>
    <w:multiLevelType w:val="hybridMultilevel"/>
    <w:tmpl w:val="43380B02"/>
    <w:lvl w:ilvl="0" w:tplc="BAEEE6B4">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A22307A"/>
    <w:multiLevelType w:val="hybridMultilevel"/>
    <w:tmpl w:val="817CF068"/>
    <w:lvl w:ilvl="0" w:tplc="9880FD1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0C289B"/>
    <w:multiLevelType w:val="multilevel"/>
    <w:tmpl w:val="213C5A60"/>
    <w:lvl w:ilvl="0">
      <w:start w:val="1"/>
      <w:numFmt w:val="decimal"/>
      <w:lvlText w:val="%1."/>
      <w:lvlJc w:val="left"/>
      <w:pPr>
        <w:ind w:left="360" w:hanging="360"/>
      </w:pPr>
      <w:rPr>
        <w:rFonts w:hint="default"/>
        <w:i w:val="0"/>
        <w:u w:val="single"/>
      </w:rPr>
    </w:lvl>
    <w:lvl w:ilvl="1">
      <w:start w:val="1"/>
      <w:numFmt w:val="decimal"/>
      <w:lvlText w:val="%1.%2."/>
      <w:lvlJc w:val="left"/>
      <w:pPr>
        <w:ind w:left="720" w:hanging="720"/>
      </w:pPr>
      <w:rPr>
        <w:rFonts w:hint="default"/>
        <w:i/>
        <w:u w:val="non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080" w:hanging="108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440" w:hanging="144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1800" w:hanging="1800"/>
      </w:pPr>
      <w:rPr>
        <w:rFonts w:hint="default"/>
        <w:i w:val="0"/>
        <w:u w:val="single"/>
      </w:rPr>
    </w:lvl>
  </w:abstractNum>
  <w:abstractNum w:abstractNumId="18" w15:restartNumberingAfterBreak="0">
    <w:nsid w:val="7DB27446"/>
    <w:multiLevelType w:val="multilevel"/>
    <w:tmpl w:val="C1FA0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11"/>
  </w:num>
  <w:num w:numId="4">
    <w:abstractNumId w:val="1"/>
  </w:num>
  <w:num w:numId="5">
    <w:abstractNumId w:val="18"/>
  </w:num>
  <w:num w:numId="6">
    <w:abstractNumId w:val="5"/>
  </w:num>
  <w:num w:numId="7">
    <w:abstractNumId w:val="14"/>
  </w:num>
  <w:num w:numId="8">
    <w:abstractNumId w:val="0"/>
  </w:num>
  <w:num w:numId="9">
    <w:abstractNumId w:val="3"/>
  </w:num>
  <w:num w:numId="10">
    <w:abstractNumId w:val="4"/>
  </w:num>
  <w:num w:numId="11">
    <w:abstractNumId w:val="9"/>
  </w:num>
  <w:num w:numId="12">
    <w:abstractNumId w:val="12"/>
  </w:num>
  <w:num w:numId="13">
    <w:abstractNumId w:val="2"/>
  </w:num>
  <w:num w:numId="14">
    <w:abstractNumId w:val="13"/>
  </w:num>
  <w:num w:numId="15">
    <w:abstractNumId w:val="8"/>
  </w:num>
  <w:num w:numId="16">
    <w:abstractNumId w:val="7"/>
  </w:num>
  <w:num w:numId="17">
    <w:abstractNumId w:val="17"/>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09"/>
    <w:rsid w:val="000165CC"/>
    <w:rsid w:val="000207D3"/>
    <w:rsid w:val="00054CDE"/>
    <w:rsid w:val="000652F9"/>
    <w:rsid w:val="00067894"/>
    <w:rsid w:val="000764B1"/>
    <w:rsid w:val="0007713D"/>
    <w:rsid w:val="00086949"/>
    <w:rsid w:val="000A0363"/>
    <w:rsid w:val="000B5DAE"/>
    <w:rsid w:val="000C52B6"/>
    <w:rsid w:val="000D16BE"/>
    <w:rsid w:val="000D5D1A"/>
    <w:rsid w:val="000E103B"/>
    <w:rsid w:val="000E1F67"/>
    <w:rsid w:val="000E580F"/>
    <w:rsid w:val="000F0B51"/>
    <w:rsid w:val="00102B63"/>
    <w:rsid w:val="00105FBB"/>
    <w:rsid w:val="001506E5"/>
    <w:rsid w:val="0015600B"/>
    <w:rsid w:val="00175749"/>
    <w:rsid w:val="00177197"/>
    <w:rsid w:val="00196391"/>
    <w:rsid w:val="001A137F"/>
    <w:rsid w:val="001B286A"/>
    <w:rsid w:val="001B451E"/>
    <w:rsid w:val="001C0F89"/>
    <w:rsid w:val="001D494F"/>
    <w:rsid w:val="002062EC"/>
    <w:rsid w:val="0021111A"/>
    <w:rsid w:val="00216A0E"/>
    <w:rsid w:val="00227D0A"/>
    <w:rsid w:val="0023311E"/>
    <w:rsid w:val="0024314F"/>
    <w:rsid w:val="002536E3"/>
    <w:rsid w:val="00256A40"/>
    <w:rsid w:val="00256EE1"/>
    <w:rsid w:val="002611F0"/>
    <w:rsid w:val="00277B3A"/>
    <w:rsid w:val="0028770B"/>
    <w:rsid w:val="002A008A"/>
    <w:rsid w:val="002A2D9B"/>
    <w:rsid w:val="002A58ED"/>
    <w:rsid w:val="002B62EC"/>
    <w:rsid w:val="002C034E"/>
    <w:rsid w:val="002C1015"/>
    <w:rsid w:val="002C4910"/>
    <w:rsid w:val="002C7B53"/>
    <w:rsid w:val="002D2DC2"/>
    <w:rsid w:val="002D6BD9"/>
    <w:rsid w:val="002E3887"/>
    <w:rsid w:val="002E6781"/>
    <w:rsid w:val="002F0CD4"/>
    <w:rsid w:val="00316A01"/>
    <w:rsid w:val="00332F60"/>
    <w:rsid w:val="003425B6"/>
    <w:rsid w:val="00347E10"/>
    <w:rsid w:val="00354160"/>
    <w:rsid w:val="00354ED8"/>
    <w:rsid w:val="00364ADB"/>
    <w:rsid w:val="00371AEA"/>
    <w:rsid w:val="0037291F"/>
    <w:rsid w:val="0037395A"/>
    <w:rsid w:val="00383A7F"/>
    <w:rsid w:val="003849B7"/>
    <w:rsid w:val="003B3388"/>
    <w:rsid w:val="003C0610"/>
    <w:rsid w:val="003D1901"/>
    <w:rsid w:val="003D38B4"/>
    <w:rsid w:val="004043E7"/>
    <w:rsid w:val="00412619"/>
    <w:rsid w:val="00413B0F"/>
    <w:rsid w:val="00416D7D"/>
    <w:rsid w:val="00425979"/>
    <w:rsid w:val="00427381"/>
    <w:rsid w:val="00436D0C"/>
    <w:rsid w:val="004407CA"/>
    <w:rsid w:val="00443BD0"/>
    <w:rsid w:val="004468D5"/>
    <w:rsid w:val="004543BF"/>
    <w:rsid w:val="00462939"/>
    <w:rsid w:val="00471F28"/>
    <w:rsid w:val="004873EE"/>
    <w:rsid w:val="004A11B4"/>
    <w:rsid w:val="004A63ED"/>
    <w:rsid w:val="004A7FDD"/>
    <w:rsid w:val="004C0132"/>
    <w:rsid w:val="004C458A"/>
    <w:rsid w:val="004D7E73"/>
    <w:rsid w:val="004E23B4"/>
    <w:rsid w:val="004E6A6F"/>
    <w:rsid w:val="004F662C"/>
    <w:rsid w:val="00523AEF"/>
    <w:rsid w:val="0053158E"/>
    <w:rsid w:val="0054195C"/>
    <w:rsid w:val="005507A9"/>
    <w:rsid w:val="0056683C"/>
    <w:rsid w:val="005A0290"/>
    <w:rsid w:val="005A03B2"/>
    <w:rsid w:val="005A69FD"/>
    <w:rsid w:val="005B2229"/>
    <w:rsid w:val="005C7BB5"/>
    <w:rsid w:val="005E2702"/>
    <w:rsid w:val="005F21AC"/>
    <w:rsid w:val="005F3CE5"/>
    <w:rsid w:val="00611F09"/>
    <w:rsid w:val="00621FAE"/>
    <w:rsid w:val="00635863"/>
    <w:rsid w:val="006528B5"/>
    <w:rsid w:val="00671551"/>
    <w:rsid w:val="006A6A13"/>
    <w:rsid w:val="006B0183"/>
    <w:rsid w:val="006B118B"/>
    <w:rsid w:val="006B3702"/>
    <w:rsid w:val="006B4164"/>
    <w:rsid w:val="006B5CB2"/>
    <w:rsid w:val="006C4105"/>
    <w:rsid w:val="006C77C3"/>
    <w:rsid w:val="006D72C7"/>
    <w:rsid w:val="006E0409"/>
    <w:rsid w:val="006E169B"/>
    <w:rsid w:val="006F11E9"/>
    <w:rsid w:val="00700122"/>
    <w:rsid w:val="0070416D"/>
    <w:rsid w:val="007133F8"/>
    <w:rsid w:val="00725CDF"/>
    <w:rsid w:val="00733A17"/>
    <w:rsid w:val="00736551"/>
    <w:rsid w:val="007450BB"/>
    <w:rsid w:val="00754BF7"/>
    <w:rsid w:val="007B42E4"/>
    <w:rsid w:val="007D1F97"/>
    <w:rsid w:val="007E1114"/>
    <w:rsid w:val="007E5AE4"/>
    <w:rsid w:val="007F0323"/>
    <w:rsid w:val="007F12B8"/>
    <w:rsid w:val="007F1945"/>
    <w:rsid w:val="00803591"/>
    <w:rsid w:val="00803870"/>
    <w:rsid w:val="00803B0F"/>
    <w:rsid w:val="00814CB7"/>
    <w:rsid w:val="008410A2"/>
    <w:rsid w:val="00863DDC"/>
    <w:rsid w:val="00864336"/>
    <w:rsid w:val="008658D0"/>
    <w:rsid w:val="00871D21"/>
    <w:rsid w:val="00872C3B"/>
    <w:rsid w:val="008736AA"/>
    <w:rsid w:val="008761A1"/>
    <w:rsid w:val="00884568"/>
    <w:rsid w:val="00884A31"/>
    <w:rsid w:val="008A5750"/>
    <w:rsid w:val="008C2251"/>
    <w:rsid w:val="008D58D1"/>
    <w:rsid w:val="008E4F4A"/>
    <w:rsid w:val="00901BA9"/>
    <w:rsid w:val="00924E05"/>
    <w:rsid w:val="00926398"/>
    <w:rsid w:val="00926E7C"/>
    <w:rsid w:val="00931BCE"/>
    <w:rsid w:val="00942060"/>
    <w:rsid w:val="00944467"/>
    <w:rsid w:val="00950C61"/>
    <w:rsid w:val="009557C3"/>
    <w:rsid w:val="00955C1F"/>
    <w:rsid w:val="009564AA"/>
    <w:rsid w:val="0096234D"/>
    <w:rsid w:val="0098635D"/>
    <w:rsid w:val="009873F4"/>
    <w:rsid w:val="009917E4"/>
    <w:rsid w:val="009A16A6"/>
    <w:rsid w:val="009A53AA"/>
    <w:rsid w:val="009A65E7"/>
    <w:rsid w:val="009C2C71"/>
    <w:rsid w:val="009D11A4"/>
    <w:rsid w:val="009D483E"/>
    <w:rsid w:val="009F7C9F"/>
    <w:rsid w:val="00A02D67"/>
    <w:rsid w:val="00A0718C"/>
    <w:rsid w:val="00A23AD5"/>
    <w:rsid w:val="00A25FC8"/>
    <w:rsid w:val="00A30C57"/>
    <w:rsid w:val="00A3566D"/>
    <w:rsid w:val="00A47DCC"/>
    <w:rsid w:val="00A626A2"/>
    <w:rsid w:val="00A72588"/>
    <w:rsid w:val="00A72D34"/>
    <w:rsid w:val="00A87A0B"/>
    <w:rsid w:val="00A92E63"/>
    <w:rsid w:val="00A95E79"/>
    <w:rsid w:val="00AA0B01"/>
    <w:rsid w:val="00AA3216"/>
    <w:rsid w:val="00AA6495"/>
    <w:rsid w:val="00AB70B6"/>
    <w:rsid w:val="00AD18FE"/>
    <w:rsid w:val="00AE44BA"/>
    <w:rsid w:val="00B17663"/>
    <w:rsid w:val="00B209AC"/>
    <w:rsid w:val="00B26315"/>
    <w:rsid w:val="00B3539C"/>
    <w:rsid w:val="00B374C6"/>
    <w:rsid w:val="00B5662B"/>
    <w:rsid w:val="00B67BDA"/>
    <w:rsid w:val="00B741DC"/>
    <w:rsid w:val="00B77AE1"/>
    <w:rsid w:val="00B829FF"/>
    <w:rsid w:val="00B97C3F"/>
    <w:rsid w:val="00BB65E4"/>
    <w:rsid w:val="00BE4C3D"/>
    <w:rsid w:val="00BF79A7"/>
    <w:rsid w:val="00C05F7B"/>
    <w:rsid w:val="00C108AB"/>
    <w:rsid w:val="00C26BD2"/>
    <w:rsid w:val="00C3179B"/>
    <w:rsid w:val="00C37EFC"/>
    <w:rsid w:val="00C4094A"/>
    <w:rsid w:val="00C64D1F"/>
    <w:rsid w:val="00C929D3"/>
    <w:rsid w:val="00CA2091"/>
    <w:rsid w:val="00CB29AE"/>
    <w:rsid w:val="00CB3FC6"/>
    <w:rsid w:val="00CC4E9F"/>
    <w:rsid w:val="00D050D6"/>
    <w:rsid w:val="00D11CE8"/>
    <w:rsid w:val="00D26110"/>
    <w:rsid w:val="00D35449"/>
    <w:rsid w:val="00D420C4"/>
    <w:rsid w:val="00D443AD"/>
    <w:rsid w:val="00D4689D"/>
    <w:rsid w:val="00D64488"/>
    <w:rsid w:val="00D709E0"/>
    <w:rsid w:val="00D71314"/>
    <w:rsid w:val="00D86D29"/>
    <w:rsid w:val="00D9689C"/>
    <w:rsid w:val="00DA10D3"/>
    <w:rsid w:val="00DB2BFA"/>
    <w:rsid w:val="00DC20F4"/>
    <w:rsid w:val="00DC2B66"/>
    <w:rsid w:val="00DC30FB"/>
    <w:rsid w:val="00DE7C38"/>
    <w:rsid w:val="00E20810"/>
    <w:rsid w:val="00E25523"/>
    <w:rsid w:val="00E26282"/>
    <w:rsid w:val="00E33A0C"/>
    <w:rsid w:val="00E64AFD"/>
    <w:rsid w:val="00E76811"/>
    <w:rsid w:val="00E76C44"/>
    <w:rsid w:val="00E77EA9"/>
    <w:rsid w:val="00E8216F"/>
    <w:rsid w:val="00E87DF6"/>
    <w:rsid w:val="00E91989"/>
    <w:rsid w:val="00E925A7"/>
    <w:rsid w:val="00E974EE"/>
    <w:rsid w:val="00EB6483"/>
    <w:rsid w:val="00EC7DDD"/>
    <w:rsid w:val="00EE32D2"/>
    <w:rsid w:val="00EE57C5"/>
    <w:rsid w:val="00EF7B71"/>
    <w:rsid w:val="00F21E23"/>
    <w:rsid w:val="00F24033"/>
    <w:rsid w:val="00F305ED"/>
    <w:rsid w:val="00F35B32"/>
    <w:rsid w:val="00F4135F"/>
    <w:rsid w:val="00F4165E"/>
    <w:rsid w:val="00F425DB"/>
    <w:rsid w:val="00F467F7"/>
    <w:rsid w:val="00F5085B"/>
    <w:rsid w:val="00F547B7"/>
    <w:rsid w:val="00F5747A"/>
    <w:rsid w:val="00F83625"/>
    <w:rsid w:val="00F90074"/>
    <w:rsid w:val="00F93083"/>
    <w:rsid w:val="00FA6183"/>
    <w:rsid w:val="00FA72FB"/>
    <w:rsid w:val="00FB65C1"/>
    <w:rsid w:val="00FD47F5"/>
    <w:rsid w:val="00FE4E06"/>
    <w:rsid w:val="00FE582A"/>
    <w:rsid w:val="00FF008B"/>
    <w:rsid w:val="00FF0EA3"/>
    <w:rsid w:val="00FF6E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09FDF"/>
  <w15:docId w15:val="{E002F3CC-CB19-4E82-A245-935EF144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C4"/>
    <w:rPr>
      <w:rFonts w:ascii="Arial" w:hAnsi="Arial"/>
      <w:sz w:val="20"/>
    </w:rPr>
  </w:style>
  <w:style w:type="paragraph" w:styleId="Titre1">
    <w:name w:val="heading 1"/>
    <w:basedOn w:val="Normal"/>
    <w:next w:val="Normal"/>
    <w:link w:val="Titre1Car"/>
    <w:uiPriority w:val="9"/>
    <w:qFormat/>
    <w:rsid w:val="00347E10"/>
    <w:pPr>
      <w:keepNext/>
      <w:keepLines/>
      <w:pBdr>
        <w:bottom w:val="single" w:sz="8" w:space="1" w:color="002060"/>
      </w:pBdr>
      <w:spacing w:before="600" w:after="120"/>
      <w:outlineLvl w:val="0"/>
    </w:pPr>
    <w:rPr>
      <w:rFonts w:eastAsiaTheme="majorEastAsia" w:cstheme="majorBidi"/>
      <w:b/>
      <w:bCs/>
      <w:color w:val="122255"/>
      <w:sz w:val="32"/>
      <w:szCs w:val="28"/>
    </w:rPr>
  </w:style>
  <w:style w:type="paragraph" w:styleId="Titre2">
    <w:name w:val="heading 2"/>
    <w:basedOn w:val="Normal"/>
    <w:next w:val="Normal"/>
    <w:link w:val="Titre2Car"/>
    <w:uiPriority w:val="9"/>
    <w:unhideWhenUsed/>
    <w:qFormat/>
    <w:rsid w:val="00347E10"/>
    <w:pPr>
      <w:keepNext/>
      <w:keepLines/>
      <w:pBdr>
        <w:bottom w:val="single" w:sz="8" w:space="1" w:color="002060"/>
      </w:pBdr>
      <w:spacing w:before="200" w:after="0"/>
      <w:outlineLvl w:val="1"/>
    </w:pPr>
    <w:rPr>
      <w:rFonts w:eastAsiaTheme="majorEastAsia" w:cstheme="majorBidi"/>
      <w:b/>
      <w:bCs/>
      <w:color w:val="122255"/>
      <w:sz w:val="28"/>
      <w:szCs w:val="26"/>
    </w:rPr>
  </w:style>
  <w:style w:type="paragraph" w:styleId="Titre3">
    <w:name w:val="heading 3"/>
    <w:basedOn w:val="Normal"/>
    <w:next w:val="Normal"/>
    <w:link w:val="Titre3Car"/>
    <w:uiPriority w:val="9"/>
    <w:unhideWhenUsed/>
    <w:qFormat/>
    <w:rsid w:val="00347E10"/>
    <w:pPr>
      <w:keepNext/>
      <w:keepLines/>
      <w:pBdr>
        <w:bottom w:val="single" w:sz="8" w:space="1" w:color="002060"/>
      </w:pBdr>
      <w:spacing w:before="200" w:after="120"/>
      <w:outlineLvl w:val="2"/>
    </w:pPr>
    <w:rPr>
      <w:rFonts w:eastAsiaTheme="majorEastAsia" w:cstheme="majorBidi"/>
      <w:b/>
      <w:bCs/>
      <w:color w:val="122255"/>
      <w:sz w:val="24"/>
    </w:rPr>
  </w:style>
  <w:style w:type="paragraph" w:styleId="Titre4">
    <w:name w:val="heading 4"/>
    <w:aliases w:val="Texte résumé"/>
    <w:basedOn w:val="Normal"/>
    <w:next w:val="Normal"/>
    <w:link w:val="Titre4Car"/>
    <w:uiPriority w:val="9"/>
    <w:unhideWhenUsed/>
    <w:qFormat/>
    <w:rsid w:val="00DB2BFA"/>
    <w:pPr>
      <w:keepNext/>
      <w:keepLines/>
      <w:pBdr>
        <w:top w:val="single" w:sz="8" w:space="1" w:color="122255"/>
        <w:left w:val="single" w:sz="8" w:space="4" w:color="122255"/>
        <w:bottom w:val="single" w:sz="8" w:space="1" w:color="122255"/>
        <w:right w:val="single" w:sz="8" w:space="4" w:color="122255"/>
      </w:pBdr>
      <w:spacing w:before="120" w:after="120"/>
      <w:jc w:val="both"/>
      <w:outlineLvl w:val="3"/>
    </w:pPr>
    <w:rPr>
      <w:rFonts w:eastAsiaTheme="majorEastAsia" w:cstheme="majorBidi"/>
      <w:bCs/>
      <w:iCs/>
    </w:rPr>
  </w:style>
  <w:style w:type="paragraph" w:styleId="Titre5">
    <w:name w:val="heading 5"/>
    <w:aliases w:val="Copyright"/>
    <w:basedOn w:val="Normal"/>
    <w:next w:val="Normal"/>
    <w:link w:val="Titre5Car"/>
    <w:uiPriority w:val="9"/>
    <w:unhideWhenUsed/>
    <w:qFormat/>
    <w:rsid w:val="004C458A"/>
    <w:pPr>
      <w:keepNext/>
      <w:keepLines/>
      <w:shd w:val="clear" w:color="auto" w:fill="E6A300"/>
      <w:spacing w:after="0"/>
      <w:jc w:val="both"/>
      <w:outlineLvl w:val="4"/>
    </w:pPr>
    <w:rPr>
      <w:rFonts w:eastAsiaTheme="majorEastAsia" w:cstheme="majorBid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409"/>
    <w:rPr>
      <w:color w:val="0000FF"/>
      <w:u w:val="single"/>
    </w:rPr>
  </w:style>
  <w:style w:type="paragraph" w:styleId="Textedebulles">
    <w:name w:val="Balloon Text"/>
    <w:basedOn w:val="Normal"/>
    <w:link w:val="TextedebullesCar"/>
    <w:uiPriority w:val="99"/>
    <w:semiHidden/>
    <w:unhideWhenUsed/>
    <w:rsid w:val="006E04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409"/>
    <w:rPr>
      <w:rFonts w:ascii="Tahoma" w:hAnsi="Tahoma" w:cs="Tahoma"/>
      <w:sz w:val="16"/>
      <w:szCs w:val="16"/>
    </w:rPr>
  </w:style>
  <w:style w:type="paragraph" w:styleId="Titre">
    <w:name w:val="Title"/>
    <w:basedOn w:val="Normal"/>
    <w:next w:val="Normal"/>
    <w:link w:val="TitreCar"/>
    <w:uiPriority w:val="10"/>
    <w:qFormat/>
    <w:rsid w:val="00A626A2"/>
    <w:pPr>
      <w:pBdr>
        <w:top w:val="single" w:sz="12" w:space="1" w:color="E6A300"/>
        <w:bottom w:val="single" w:sz="12" w:space="1" w:color="E6A300"/>
      </w:pBdr>
      <w:shd w:val="clear" w:color="auto" w:fill="FFFFFF" w:themeFill="background1"/>
      <w:spacing w:after="300" w:line="240" w:lineRule="auto"/>
      <w:contextualSpacing/>
      <w:jc w:val="center"/>
    </w:pPr>
    <w:rPr>
      <w:rFonts w:eastAsiaTheme="majorEastAsia" w:cstheme="majorBidi"/>
      <w:color w:val="122255"/>
      <w:spacing w:val="5"/>
      <w:kern w:val="28"/>
      <w:sz w:val="52"/>
      <w:szCs w:val="52"/>
    </w:rPr>
  </w:style>
  <w:style w:type="character" w:customStyle="1" w:styleId="TitreCar">
    <w:name w:val="Titre Car"/>
    <w:basedOn w:val="Policepardfaut"/>
    <w:link w:val="Titre"/>
    <w:uiPriority w:val="10"/>
    <w:rsid w:val="00A626A2"/>
    <w:rPr>
      <w:rFonts w:ascii="Arial" w:eastAsiaTheme="majorEastAsia" w:hAnsi="Arial" w:cstheme="majorBidi"/>
      <w:color w:val="122255"/>
      <w:spacing w:val="5"/>
      <w:kern w:val="28"/>
      <w:sz w:val="52"/>
      <w:szCs w:val="52"/>
      <w:shd w:val="clear" w:color="auto" w:fill="FFFFFF" w:themeFill="background1"/>
    </w:rPr>
  </w:style>
  <w:style w:type="character" w:customStyle="1" w:styleId="Titre2Car">
    <w:name w:val="Titre 2 Car"/>
    <w:basedOn w:val="Policepardfaut"/>
    <w:link w:val="Titre2"/>
    <w:uiPriority w:val="9"/>
    <w:rsid w:val="00347E10"/>
    <w:rPr>
      <w:rFonts w:ascii="Arial" w:eastAsiaTheme="majorEastAsia" w:hAnsi="Arial" w:cstheme="majorBidi"/>
      <w:b/>
      <w:bCs/>
      <w:color w:val="122255"/>
      <w:sz w:val="28"/>
      <w:szCs w:val="26"/>
    </w:rPr>
  </w:style>
  <w:style w:type="paragraph" w:styleId="En-tte">
    <w:name w:val="header"/>
    <w:basedOn w:val="Normal"/>
    <w:link w:val="En-tteCar"/>
    <w:uiPriority w:val="99"/>
    <w:unhideWhenUsed/>
    <w:rsid w:val="00F425DB"/>
    <w:pPr>
      <w:tabs>
        <w:tab w:val="center" w:pos="4536"/>
        <w:tab w:val="right" w:pos="9072"/>
      </w:tabs>
      <w:spacing w:after="0" w:line="240" w:lineRule="auto"/>
    </w:pPr>
  </w:style>
  <w:style w:type="character" w:customStyle="1" w:styleId="En-tteCar">
    <w:name w:val="En-tête Car"/>
    <w:basedOn w:val="Policepardfaut"/>
    <w:link w:val="En-tte"/>
    <w:uiPriority w:val="99"/>
    <w:rsid w:val="00F425DB"/>
  </w:style>
  <w:style w:type="paragraph" w:styleId="Pieddepage">
    <w:name w:val="footer"/>
    <w:basedOn w:val="Normal"/>
    <w:link w:val="PieddepageCar"/>
    <w:uiPriority w:val="99"/>
    <w:unhideWhenUsed/>
    <w:rsid w:val="00F42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DB"/>
  </w:style>
  <w:style w:type="paragraph" w:styleId="Paragraphedeliste">
    <w:name w:val="List Paragraph"/>
    <w:basedOn w:val="Normal"/>
    <w:uiPriority w:val="34"/>
    <w:qFormat/>
    <w:rsid w:val="00926398"/>
    <w:pPr>
      <w:ind w:left="720"/>
      <w:contextualSpacing/>
    </w:pPr>
  </w:style>
  <w:style w:type="table" w:styleId="Grilledutableau">
    <w:name w:val="Table Grid"/>
    <w:basedOn w:val="TableauNormal"/>
    <w:uiPriority w:val="59"/>
    <w:rsid w:val="005A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47E10"/>
    <w:rPr>
      <w:rFonts w:ascii="Arial" w:eastAsiaTheme="majorEastAsia" w:hAnsi="Arial" w:cstheme="majorBidi"/>
      <w:b/>
      <w:bCs/>
      <w:color w:val="122255"/>
      <w:sz w:val="24"/>
    </w:rPr>
  </w:style>
  <w:style w:type="character" w:customStyle="1" w:styleId="Titre1Car">
    <w:name w:val="Titre 1 Car"/>
    <w:basedOn w:val="Policepardfaut"/>
    <w:link w:val="Titre1"/>
    <w:uiPriority w:val="9"/>
    <w:rsid w:val="00347E10"/>
    <w:rPr>
      <w:rFonts w:ascii="Arial" w:eastAsiaTheme="majorEastAsia" w:hAnsi="Arial" w:cstheme="majorBidi"/>
      <w:b/>
      <w:bCs/>
      <w:color w:val="122255"/>
      <w:sz w:val="32"/>
      <w:szCs w:val="28"/>
    </w:rPr>
  </w:style>
  <w:style w:type="character" w:customStyle="1" w:styleId="Titre4Car">
    <w:name w:val="Titre 4 Car"/>
    <w:aliases w:val="Texte résumé Car"/>
    <w:basedOn w:val="Policepardfaut"/>
    <w:link w:val="Titre4"/>
    <w:uiPriority w:val="9"/>
    <w:rsid w:val="00DB2BFA"/>
    <w:rPr>
      <w:rFonts w:ascii="Arial" w:eastAsiaTheme="majorEastAsia" w:hAnsi="Arial" w:cstheme="majorBidi"/>
      <w:bCs/>
      <w:iCs/>
      <w:sz w:val="20"/>
    </w:rPr>
  </w:style>
  <w:style w:type="paragraph" w:styleId="Sous-titre">
    <w:name w:val="Subtitle"/>
    <w:basedOn w:val="Normal"/>
    <w:next w:val="Normal"/>
    <w:link w:val="Sous-titreCar"/>
    <w:uiPriority w:val="11"/>
    <w:qFormat/>
    <w:rsid w:val="00D4689D"/>
    <w:pPr>
      <w:numPr>
        <w:ilvl w:val="1"/>
      </w:numPr>
    </w:pPr>
    <w:rPr>
      <w:rFonts w:ascii="Times New Roman" w:eastAsiaTheme="majorEastAsia" w:hAnsi="Times New Roman" w:cstheme="majorBidi"/>
      <w:i/>
      <w:iCs/>
      <w:color w:val="0D0D0D" w:themeColor="text1" w:themeTint="F2"/>
      <w:spacing w:val="15"/>
      <w:sz w:val="24"/>
      <w:szCs w:val="24"/>
    </w:rPr>
  </w:style>
  <w:style w:type="character" w:customStyle="1" w:styleId="Sous-titreCar">
    <w:name w:val="Sous-titre Car"/>
    <w:basedOn w:val="Policepardfaut"/>
    <w:link w:val="Sous-titre"/>
    <w:uiPriority w:val="11"/>
    <w:rsid w:val="00D4689D"/>
    <w:rPr>
      <w:rFonts w:ascii="Times New Roman" w:eastAsiaTheme="majorEastAsia" w:hAnsi="Times New Roman" w:cstheme="majorBidi"/>
      <w:i/>
      <w:iCs/>
      <w:color w:val="0D0D0D" w:themeColor="text1" w:themeTint="F2"/>
      <w:spacing w:val="15"/>
      <w:sz w:val="24"/>
      <w:szCs w:val="24"/>
    </w:rPr>
  </w:style>
  <w:style w:type="character" w:customStyle="1" w:styleId="Titre5Car">
    <w:name w:val="Titre 5 Car"/>
    <w:aliases w:val="Copyright Car"/>
    <w:basedOn w:val="Policepardfaut"/>
    <w:link w:val="Titre5"/>
    <w:uiPriority w:val="9"/>
    <w:rsid w:val="004C458A"/>
    <w:rPr>
      <w:rFonts w:ascii="Arial" w:eastAsiaTheme="majorEastAsia" w:hAnsi="Arial" w:cstheme="majorBidi"/>
      <w:sz w:val="16"/>
      <w:shd w:val="clear" w:color="auto" w:fill="E6A300"/>
    </w:rPr>
  </w:style>
  <w:style w:type="paragraph" w:styleId="Notedebasdepage">
    <w:name w:val="footnote text"/>
    <w:basedOn w:val="Normal"/>
    <w:link w:val="NotedebasdepageCar"/>
    <w:uiPriority w:val="99"/>
    <w:semiHidden/>
    <w:rsid w:val="00067894"/>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0"/>
      <w:lang w:eastAsia="fr-FR"/>
    </w:rPr>
  </w:style>
  <w:style w:type="character" w:customStyle="1" w:styleId="NotedebasdepageCar">
    <w:name w:val="Note de bas de page Car"/>
    <w:basedOn w:val="Policepardfaut"/>
    <w:link w:val="Notedebasdepage"/>
    <w:uiPriority w:val="99"/>
    <w:semiHidden/>
    <w:rsid w:val="00067894"/>
    <w:rPr>
      <w:rFonts w:ascii="Times New Roman" w:eastAsia="Times New Roman" w:hAnsi="Times New Roman" w:cs="Arial"/>
      <w:sz w:val="24"/>
      <w:szCs w:val="20"/>
      <w:lang w:eastAsia="fr-FR"/>
    </w:rPr>
  </w:style>
  <w:style w:type="character" w:styleId="Marquedecommentaire">
    <w:name w:val="annotation reference"/>
    <w:basedOn w:val="Policepardfaut"/>
    <w:uiPriority w:val="99"/>
    <w:semiHidden/>
    <w:unhideWhenUsed/>
    <w:rsid w:val="000E580F"/>
    <w:rPr>
      <w:sz w:val="16"/>
      <w:szCs w:val="16"/>
    </w:rPr>
  </w:style>
  <w:style w:type="paragraph" w:styleId="Commentaire">
    <w:name w:val="annotation text"/>
    <w:basedOn w:val="Normal"/>
    <w:link w:val="CommentaireCar"/>
    <w:uiPriority w:val="99"/>
    <w:semiHidden/>
    <w:unhideWhenUsed/>
    <w:rsid w:val="000E580F"/>
    <w:pPr>
      <w:spacing w:line="240" w:lineRule="auto"/>
    </w:pPr>
    <w:rPr>
      <w:szCs w:val="20"/>
    </w:rPr>
  </w:style>
  <w:style w:type="character" w:customStyle="1" w:styleId="CommentaireCar">
    <w:name w:val="Commentaire Car"/>
    <w:basedOn w:val="Policepardfaut"/>
    <w:link w:val="Commentaire"/>
    <w:uiPriority w:val="99"/>
    <w:semiHidden/>
    <w:rsid w:val="000E580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0E580F"/>
    <w:rPr>
      <w:b/>
      <w:bCs/>
    </w:rPr>
  </w:style>
  <w:style w:type="character" w:customStyle="1" w:styleId="ObjetducommentaireCar">
    <w:name w:val="Objet du commentaire Car"/>
    <w:basedOn w:val="CommentaireCar"/>
    <w:link w:val="Objetducommentaire"/>
    <w:uiPriority w:val="99"/>
    <w:semiHidden/>
    <w:rsid w:val="000E580F"/>
    <w:rPr>
      <w:rFonts w:ascii="Arial" w:hAnsi="Arial"/>
      <w:b/>
      <w:bCs/>
      <w:sz w:val="20"/>
      <w:szCs w:val="20"/>
    </w:rPr>
  </w:style>
  <w:style w:type="character" w:styleId="Appelnotedebasdep">
    <w:name w:val="footnote reference"/>
    <w:basedOn w:val="Policepardfaut"/>
    <w:uiPriority w:val="99"/>
    <w:semiHidden/>
    <w:unhideWhenUsed/>
    <w:rsid w:val="001963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9288">
      <w:bodyDiv w:val="1"/>
      <w:marLeft w:val="0"/>
      <w:marRight w:val="0"/>
      <w:marTop w:val="0"/>
      <w:marBottom w:val="0"/>
      <w:divBdr>
        <w:top w:val="none" w:sz="0" w:space="0" w:color="auto"/>
        <w:left w:val="none" w:sz="0" w:space="0" w:color="auto"/>
        <w:bottom w:val="none" w:sz="0" w:space="0" w:color="auto"/>
        <w:right w:val="none" w:sz="0" w:space="0" w:color="auto"/>
      </w:divBdr>
    </w:div>
    <w:div w:id="248125072">
      <w:bodyDiv w:val="1"/>
      <w:marLeft w:val="0"/>
      <w:marRight w:val="0"/>
      <w:marTop w:val="0"/>
      <w:marBottom w:val="0"/>
      <w:divBdr>
        <w:top w:val="none" w:sz="0" w:space="0" w:color="auto"/>
        <w:left w:val="none" w:sz="0" w:space="0" w:color="auto"/>
        <w:bottom w:val="none" w:sz="0" w:space="0" w:color="auto"/>
        <w:right w:val="none" w:sz="0" w:space="0" w:color="auto"/>
      </w:divBdr>
    </w:div>
    <w:div w:id="506481785">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sChild>
        <w:div w:id="1316491390">
          <w:marLeft w:val="300"/>
          <w:marRight w:val="0"/>
          <w:marTop w:val="375"/>
          <w:marBottom w:val="225"/>
          <w:divBdr>
            <w:top w:val="none" w:sz="0" w:space="0" w:color="auto"/>
            <w:left w:val="none" w:sz="0" w:space="0" w:color="auto"/>
            <w:bottom w:val="none" w:sz="0" w:space="0" w:color="auto"/>
            <w:right w:val="none" w:sz="0" w:space="0" w:color="auto"/>
          </w:divBdr>
          <w:divsChild>
            <w:div w:id="1973828614">
              <w:marLeft w:val="0"/>
              <w:marRight w:val="0"/>
              <w:marTop w:val="0"/>
              <w:marBottom w:val="0"/>
              <w:divBdr>
                <w:top w:val="none" w:sz="0" w:space="0" w:color="auto"/>
                <w:left w:val="none" w:sz="0" w:space="0" w:color="auto"/>
                <w:bottom w:val="none" w:sz="0" w:space="0" w:color="auto"/>
                <w:right w:val="none" w:sz="0" w:space="0" w:color="auto"/>
              </w:divBdr>
              <w:divsChild>
                <w:div w:id="1374696158">
                  <w:marLeft w:val="0"/>
                  <w:marRight w:val="0"/>
                  <w:marTop w:val="0"/>
                  <w:marBottom w:val="0"/>
                  <w:divBdr>
                    <w:top w:val="none" w:sz="0" w:space="0" w:color="auto"/>
                    <w:left w:val="none" w:sz="0" w:space="0" w:color="auto"/>
                    <w:bottom w:val="none" w:sz="0" w:space="0" w:color="auto"/>
                    <w:right w:val="none" w:sz="0" w:space="0" w:color="auto"/>
                  </w:divBdr>
                  <w:divsChild>
                    <w:div w:id="143547384">
                      <w:marLeft w:val="0"/>
                      <w:marRight w:val="0"/>
                      <w:marTop w:val="0"/>
                      <w:marBottom w:val="0"/>
                      <w:divBdr>
                        <w:top w:val="none" w:sz="0" w:space="0" w:color="auto"/>
                        <w:left w:val="none" w:sz="0" w:space="0" w:color="auto"/>
                        <w:bottom w:val="none" w:sz="0" w:space="0" w:color="auto"/>
                        <w:right w:val="none" w:sz="0" w:space="0" w:color="auto"/>
                      </w:divBdr>
                      <w:divsChild>
                        <w:div w:id="388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62540">
      <w:bodyDiv w:val="1"/>
      <w:marLeft w:val="0"/>
      <w:marRight w:val="0"/>
      <w:marTop w:val="0"/>
      <w:marBottom w:val="0"/>
      <w:divBdr>
        <w:top w:val="none" w:sz="0" w:space="0" w:color="auto"/>
        <w:left w:val="none" w:sz="0" w:space="0" w:color="auto"/>
        <w:bottom w:val="none" w:sz="0" w:space="0" w:color="auto"/>
        <w:right w:val="none" w:sz="0" w:space="0" w:color="auto"/>
      </w:divBdr>
    </w:div>
    <w:div w:id="1661084075">
      <w:bodyDiv w:val="1"/>
      <w:marLeft w:val="0"/>
      <w:marRight w:val="0"/>
      <w:marTop w:val="0"/>
      <w:marBottom w:val="0"/>
      <w:divBdr>
        <w:top w:val="none" w:sz="0" w:space="0" w:color="auto"/>
        <w:left w:val="none" w:sz="0" w:space="0" w:color="auto"/>
        <w:bottom w:val="none" w:sz="0" w:space="0" w:color="auto"/>
        <w:right w:val="none" w:sz="0" w:space="0" w:color="auto"/>
      </w:divBdr>
      <w:divsChild>
        <w:div w:id="1878200404">
          <w:marLeft w:val="300"/>
          <w:marRight w:val="0"/>
          <w:marTop w:val="375"/>
          <w:marBottom w:val="225"/>
          <w:divBdr>
            <w:top w:val="none" w:sz="0" w:space="0" w:color="auto"/>
            <w:left w:val="none" w:sz="0" w:space="0" w:color="auto"/>
            <w:bottom w:val="none" w:sz="0" w:space="0" w:color="auto"/>
            <w:right w:val="none" w:sz="0" w:space="0" w:color="auto"/>
          </w:divBdr>
          <w:divsChild>
            <w:div w:id="709569375">
              <w:marLeft w:val="0"/>
              <w:marRight w:val="0"/>
              <w:marTop w:val="0"/>
              <w:marBottom w:val="0"/>
              <w:divBdr>
                <w:top w:val="none" w:sz="0" w:space="0" w:color="auto"/>
                <w:left w:val="none" w:sz="0" w:space="0" w:color="auto"/>
                <w:bottom w:val="none" w:sz="0" w:space="0" w:color="auto"/>
                <w:right w:val="none" w:sz="0" w:space="0" w:color="auto"/>
              </w:divBdr>
              <w:divsChild>
                <w:div w:id="375204544">
                  <w:marLeft w:val="0"/>
                  <w:marRight w:val="0"/>
                  <w:marTop w:val="0"/>
                  <w:marBottom w:val="0"/>
                  <w:divBdr>
                    <w:top w:val="none" w:sz="0" w:space="0" w:color="auto"/>
                    <w:left w:val="none" w:sz="0" w:space="0" w:color="auto"/>
                    <w:bottom w:val="none" w:sz="0" w:space="0" w:color="auto"/>
                    <w:right w:val="none" w:sz="0" w:space="0" w:color="auto"/>
                  </w:divBdr>
                </w:div>
                <w:div w:id="583227115">
                  <w:marLeft w:val="0"/>
                  <w:marRight w:val="0"/>
                  <w:marTop w:val="0"/>
                  <w:marBottom w:val="0"/>
                  <w:divBdr>
                    <w:top w:val="none" w:sz="0" w:space="0" w:color="auto"/>
                    <w:left w:val="none" w:sz="0" w:space="0" w:color="auto"/>
                    <w:bottom w:val="none" w:sz="0" w:space="0" w:color="auto"/>
                    <w:right w:val="none" w:sz="0" w:space="0" w:color="auto"/>
                  </w:divBdr>
                  <w:divsChild>
                    <w:div w:id="1917010926">
                      <w:marLeft w:val="0"/>
                      <w:marRight w:val="0"/>
                      <w:marTop w:val="0"/>
                      <w:marBottom w:val="0"/>
                      <w:divBdr>
                        <w:top w:val="none" w:sz="0" w:space="0" w:color="auto"/>
                        <w:left w:val="none" w:sz="0" w:space="0" w:color="auto"/>
                        <w:bottom w:val="none" w:sz="0" w:space="0" w:color="auto"/>
                        <w:right w:val="none" w:sz="0" w:space="0" w:color="auto"/>
                      </w:divBdr>
                      <w:divsChild>
                        <w:div w:id="1948386814">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15"/>
                              <w:marBottom w:val="0"/>
                              <w:divBdr>
                                <w:top w:val="none" w:sz="0" w:space="0" w:color="auto"/>
                                <w:left w:val="none" w:sz="0" w:space="0" w:color="auto"/>
                                <w:bottom w:val="none" w:sz="0" w:space="0" w:color="auto"/>
                                <w:right w:val="none" w:sz="0" w:space="0" w:color="auto"/>
                              </w:divBdr>
                            </w:div>
                            <w:div w:id="1493136400">
                              <w:marLeft w:val="0"/>
                              <w:marRight w:val="0"/>
                              <w:marTop w:val="15"/>
                              <w:marBottom w:val="0"/>
                              <w:divBdr>
                                <w:top w:val="none" w:sz="0" w:space="0" w:color="auto"/>
                                <w:left w:val="none" w:sz="0" w:space="0" w:color="auto"/>
                                <w:bottom w:val="none" w:sz="0" w:space="0" w:color="auto"/>
                                <w:right w:val="none" w:sz="0" w:space="0" w:color="auto"/>
                              </w:divBdr>
                            </w:div>
                            <w:div w:id="12482740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054447">
      <w:bodyDiv w:val="1"/>
      <w:marLeft w:val="0"/>
      <w:marRight w:val="0"/>
      <w:marTop w:val="0"/>
      <w:marBottom w:val="0"/>
      <w:divBdr>
        <w:top w:val="none" w:sz="0" w:space="0" w:color="auto"/>
        <w:left w:val="none" w:sz="0" w:space="0" w:color="auto"/>
        <w:bottom w:val="none" w:sz="0" w:space="0" w:color="auto"/>
        <w:right w:val="none" w:sz="0" w:space="0" w:color="auto"/>
      </w:divBdr>
    </w:div>
    <w:div w:id="2103525887">
      <w:bodyDiv w:val="1"/>
      <w:marLeft w:val="0"/>
      <w:marRight w:val="0"/>
      <w:marTop w:val="0"/>
      <w:marBottom w:val="0"/>
      <w:divBdr>
        <w:top w:val="none" w:sz="0" w:space="0" w:color="auto"/>
        <w:left w:val="none" w:sz="0" w:space="0" w:color="auto"/>
        <w:bottom w:val="none" w:sz="0" w:space="0" w:color="auto"/>
        <w:right w:val="none" w:sz="0" w:space="0" w:color="auto"/>
      </w:divBdr>
      <w:divsChild>
        <w:div w:id="1350791836">
          <w:marLeft w:val="0"/>
          <w:marRight w:val="0"/>
          <w:marTop w:val="100"/>
          <w:marBottom w:val="100"/>
          <w:divBdr>
            <w:top w:val="none" w:sz="0" w:space="0" w:color="auto"/>
            <w:left w:val="single" w:sz="6" w:space="0" w:color="8E8F92"/>
            <w:bottom w:val="none" w:sz="0" w:space="0" w:color="auto"/>
            <w:right w:val="single" w:sz="6" w:space="0" w:color="8E8F92"/>
          </w:divBdr>
          <w:divsChild>
            <w:div w:id="241137344">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EE0AA-AF57-4EB8-91A3-9FCF9C85A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CBD6FF2A.dotm</Template>
  <TotalTime>26</TotalTime>
  <Pages>3</Pages>
  <Words>1518</Words>
  <Characters>8352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Faten.BOUKHCHANA@dgtresor.gouv.fr</dc:creator>
  <cp:lastModifiedBy>DE WARREN Grégoire</cp:lastModifiedBy>
  <cp:revision>8</cp:revision>
  <cp:lastPrinted>2016-02-15T09:33:00Z</cp:lastPrinted>
  <dcterms:created xsi:type="dcterms:W3CDTF">2018-01-09T11:05:00Z</dcterms:created>
  <dcterms:modified xsi:type="dcterms:W3CDTF">2018-01-11T11:26:00Z</dcterms:modified>
</cp:coreProperties>
</file>